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000.0" w:type="dxa"/>
        <w:jc w:val="left"/>
        <w:tblBorders>
          <w:bottom w:color="000000" w:space="0" w:sz="6" w:val="single"/>
        </w:tblBorders>
        <w:tblLayout w:type="fixed"/>
        <w:tblLook w:val="0400"/>
      </w:tblPr>
      <w:tblGrid>
        <w:gridCol w:w="7500"/>
        <w:gridCol w:w="1500"/>
        <w:tblGridChange w:id="0">
          <w:tblGrid>
            <w:gridCol w:w="7500"/>
            <w:gridCol w:w="1500"/>
          </w:tblGrid>
        </w:tblGridChange>
      </w:tblGrid>
      <w:tr>
        <w:trPr>
          <w:cantSplit w:val="0"/>
          <w:tblHeader w:val="0"/>
        </w:trPr>
        <w:tc>
          <w:tcPr/>
          <w:p w:rsidR="00000000" w:rsidDel="00000000" w:rsidP="00000000" w:rsidRDefault="00000000" w:rsidRPr="00000000" w14:paraId="00000002">
            <w:pPr>
              <w:spacing w:after="0" w:before="180" w:lineRule="auto"/>
              <w:rPr/>
            </w:pPr>
            <w:r w:rsidDel="00000000" w:rsidR="00000000" w:rsidRPr="00000000">
              <w:rPr>
                <w:rFonts w:ascii="Times New Roman" w:cs="Times New Roman" w:eastAsia="Times New Roman" w:hAnsi="Times New Roman"/>
                <w:sz w:val="18"/>
                <w:szCs w:val="18"/>
                <w:rtl w:val="0"/>
              </w:rPr>
              <w:t xml:space="preserve">International Journal of Computer Information Systems and Industrial Management Applications</w:t>
            </w:r>
            <w:r w:rsidDel="00000000" w:rsidR="00000000" w:rsidRPr="00000000">
              <w:rPr>
                <w:rtl w:val="0"/>
              </w:rPr>
            </w:r>
          </w:p>
          <w:p w:rsidR="00000000" w:rsidDel="00000000" w:rsidP="00000000" w:rsidRDefault="00000000" w:rsidRPr="00000000" w14:paraId="00000003">
            <w:pPr>
              <w:spacing w:after="0" w:lineRule="auto"/>
              <w:rPr/>
            </w:pPr>
            <w:r w:rsidDel="00000000" w:rsidR="00000000" w:rsidRPr="00000000">
              <w:rPr>
                <w:rFonts w:ascii="Times New Roman" w:cs="Times New Roman" w:eastAsia="Times New Roman" w:hAnsi="Times New Roman"/>
                <w:sz w:val="18"/>
                <w:szCs w:val="18"/>
                <w:rtl w:val="0"/>
              </w:rPr>
              <w:t xml:space="preserve">ISSN 2150-7988 Volume 18(22s) 2026 pp. 1071-1078</w:t>
            </w:r>
            <w:r w:rsidDel="00000000" w:rsidR="00000000" w:rsidRPr="00000000">
              <w:rPr>
                <w:rtl w:val="0"/>
              </w:rPr>
            </w:r>
          </w:p>
        </w:tc>
        <w:tc>
          <w:tcPr/>
          <w:p w:rsidR="00000000" w:rsidDel="00000000" w:rsidP="00000000" w:rsidRDefault="00000000" w:rsidRPr="00000000" w14:paraId="00000004">
            <w:pPr>
              <w:jc w:val="right"/>
              <w:rPr/>
            </w:pPr>
            <w:r w:rsidDel="00000000" w:rsidR="00000000" w:rsidRPr="00000000">
              <w:rPr>
                <w:rtl w:val="0"/>
              </w:rPr>
            </w:r>
          </w:p>
        </w:tc>
      </w:tr>
    </w:tbl>
    <w:p w:rsidR="00000000" w:rsidDel="00000000" w:rsidP="00000000" w:rsidRDefault="00000000" w:rsidRPr="00000000" w14:paraId="00000005">
      <w:pPr>
        <w:spacing w:after="0" w:lineRule="auto"/>
        <w:rPr/>
      </w:pPr>
      <w:r w:rsidDel="00000000" w:rsidR="00000000" w:rsidRPr="00000000">
        <w:rPr>
          <w:rFonts w:ascii="Times New Roman" w:cs="Times New Roman" w:eastAsia="Times New Roman" w:hAnsi="Times New Roman"/>
          <w:sz w:val="18"/>
          <w:szCs w:val="18"/>
          <w:rtl w:val="0"/>
        </w:rPr>
        <w:t xml:space="preserve">https://doi.org/10.70917/ijcisim-2026-xxxx</w:t>
      </w:r>
      <w:r w:rsidDel="00000000" w:rsidR="00000000" w:rsidRPr="00000000">
        <w:rPr>
          <w:rtl w:val="0"/>
        </w:rPr>
      </w:r>
    </w:p>
    <w:p w:rsidR="00000000" w:rsidDel="00000000" w:rsidP="00000000" w:rsidRDefault="00000000" w:rsidRPr="00000000" w14:paraId="00000006">
      <w:pPr>
        <w:spacing w:after="0" w:lineRule="auto"/>
        <w:rPr/>
      </w:pPr>
      <w:r w:rsidDel="00000000" w:rsidR="00000000" w:rsidRPr="00000000">
        <w:rPr>
          <w:rFonts w:ascii="Times New Roman" w:cs="Times New Roman" w:eastAsia="Times New Roman" w:hAnsi="Times New Roman"/>
          <w:sz w:val="18"/>
          <w:szCs w:val="18"/>
          <w:rtl w:val="0"/>
        </w:rPr>
        <w:t xml:space="preserve">Article</w:t>
      </w:r>
      <w:r w:rsidDel="00000000" w:rsidR="00000000" w:rsidRPr="00000000">
        <w:rPr>
          <w:rtl w:val="0"/>
        </w:rPr>
      </w:r>
    </w:p>
    <w:p w:rsidR="00000000" w:rsidDel="00000000" w:rsidP="00000000" w:rsidRDefault="00000000" w:rsidRPr="00000000" w14:paraId="00000007">
      <w:pPr>
        <w:jc w:val="center"/>
        <w:rPr/>
      </w:pPr>
      <w:r w:rsidDel="00000000" w:rsidR="00000000" w:rsidRPr="00000000">
        <w:rPr>
          <w:rFonts w:ascii="Times New Roman" w:cs="Times New Roman" w:eastAsia="Times New Roman" w:hAnsi="Times New Roman"/>
          <w:b w:val="1"/>
          <w:bCs w:val="1"/>
          <w:sz w:val="44"/>
          <w:szCs w:val="44"/>
          <w:rtl w:val="0"/>
        </w:rPr>
        <w:t xml:space="preserve">THE ROLE OF UNDERWRITERS IN THE SUCCESS OF IPOs: EVIDENCE FROM THE INDIAN MARKET</w:t>
      </w:r>
      <w:r w:rsidDel="00000000" w:rsidR="00000000" w:rsidRPr="00000000">
        <w:rPr>
          <w:rtl w:val="0"/>
        </w:rPr>
      </w:r>
    </w:p>
    <w:p w:rsidR="00000000" w:rsidDel="00000000" w:rsidP="00000000" w:rsidRDefault="00000000" w:rsidRPr="00000000" w14:paraId="00000008">
      <w:pPr>
        <w:rPr/>
      </w:pPr>
      <w:r w:rsidDel="00000000" w:rsidR="00000000" w:rsidRPr="00000000">
        <w:rPr>
          <w:rFonts w:ascii="Times New Roman" w:cs="Times New Roman" w:eastAsia="Times New Roman" w:hAnsi="Times New Roman"/>
          <w:b w:val="1"/>
          <w:bCs w:val="1"/>
          <w:rtl w:val="0"/>
        </w:rPr>
        <w:t xml:space="preserve">Bhawana Mittal1*, Yuvraj Chahar</w:t>
      </w:r>
      <w:r w:rsidDel="00000000" w:rsidR="00000000" w:rsidRPr="00000000">
        <w:rPr>
          <w:rFonts w:ascii="Times New Roman" w:cs="Times New Roman" w:eastAsia="Times New Roman" w:hAnsi="Times New Roman"/>
          <w:b w:val="1"/>
          <w:bCs w:val="1"/>
          <w:vertAlign w:val="superscript"/>
          <w:rtl w:val="0"/>
        </w:rPr>
        <w:t xml:space="preserve">2</w:t>
      </w:r>
      <w:r w:rsidDel="00000000" w:rsidR="00000000" w:rsidRPr="00000000">
        <w:rPr>
          <w:rtl w:val="0"/>
        </w:rPr>
      </w:r>
    </w:p>
    <w:p w:rsidR="00000000" w:rsidDel="00000000" w:rsidP="00000000" w:rsidRDefault="00000000" w:rsidRPr="00000000" w14:paraId="00000009">
      <w:pPr>
        <w:rPr/>
      </w:pPr>
      <w:r w:rsidDel="00000000" w:rsidR="00000000" w:rsidRPr="00000000">
        <w:rPr>
          <w:rFonts w:ascii="Times New Roman" w:cs="Times New Roman" w:eastAsia="Times New Roman" w:hAnsi="Times New Roman"/>
          <w:sz w:val="18"/>
          <w:szCs w:val="18"/>
          <w:vertAlign w:val="superscript"/>
          <w:rtl w:val="0"/>
        </w:rPr>
        <w:t xml:space="preserve">1,2</w:t>
      </w:r>
      <w:r w:rsidDel="00000000" w:rsidR="00000000" w:rsidRPr="00000000">
        <w:rPr>
          <w:rFonts w:ascii="Times New Roman" w:cs="Times New Roman" w:eastAsia="Times New Roman" w:hAnsi="Times New Roman"/>
          <w:sz w:val="18"/>
          <w:szCs w:val="18"/>
          <w:rtl w:val="0"/>
        </w:rPr>
        <w:t xml:space="preserve">School of Commerce and Management, Om Sterling Global University, Hissar</w:t>
        <w:br w:type="textWrapping"/>
        <w:t xml:space="preserve">Emails: 1*bhawana1998mittal@gmail.com; 2yuvrajscm@osgu.ac.in</w:t>
      </w:r>
      <w:r w:rsidDel="00000000" w:rsidR="00000000" w:rsidRPr="00000000">
        <w:rPr>
          <w:rtl w:val="0"/>
        </w:rPr>
      </w:r>
    </w:p>
    <w:p w:rsidR="00000000" w:rsidDel="00000000" w:rsidP="00000000" w:rsidRDefault="00000000" w:rsidRPr="00000000" w14:paraId="0000000A">
      <w:pPr>
        <w:spacing w:after="0" w:before="120" w:lineRule="auto"/>
        <w:jc w:val="both"/>
        <w:rPr/>
      </w:pPr>
      <w:r w:rsidDel="00000000" w:rsidR="00000000" w:rsidRPr="00000000">
        <w:rPr>
          <w:rFonts w:ascii="Times New Roman" w:cs="Times New Roman" w:eastAsia="Times New Roman" w:hAnsi="Times New Roman"/>
          <w:b w:val="1"/>
          <w:bCs w:val="1"/>
          <w:sz w:val="18"/>
          <w:szCs w:val="18"/>
          <w:rtl w:val="0"/>
        </w:rPr>
        <w:t xml:space="preserve">Abstract: </w:t>
      </w:r>
      <w:r w:rsidDel="00000000" w:rsidR="00000000" w:rsidRPr="00000000">
        <w:rPr>
          <w:rFonts w:ascii="Times New Roman" w:cs="Times New Roman" w:eastAsia="Times New Roman" w:hAnsi="Times New Roman"/>
          <w:sz w:val="18"/>
          <w:szCs w:val="18"/>
          <w:rtl w:val="0"/>
        </w:rPr>
        <w:t xml:space="preserve">The role of underwriters in the success of Initial Public Offerings (IPOs) is crucial, particularly in emerging markets like India, where market dynamics are rapidly evolving. This paper examines the influence of underwriters on the performance of IPOs in the Indian market, analyzing various factors that contribute to a successful offering. It explores the relationship between underwriting quality, underwriter reputation, and the pricing, subscription, and post-listing performance of IPOs. By using a dataset of IPOs launched in India over the past decade, this study investigates how underwriters’ expertise, market knowledge, and promotional activities impact the success of an IPO. The findings suggest that underwriters with higher reputation and strong market presence tend to ensure more successful offerings, with better subscription rates and less volatility in the post-listing phase. Furthermore, this research highlights the importance of underwriters in building investor confidence and mitigating the risks associated with the IPO process in India’s dynamic market.</w:t>
      </w:r>
      <w:r w:rsidDel="00000000" w:rsidR="00000000" w:rsidRPr="00000000">
        <w:rPr>
          <w:rtl w:val="0"/>
        </w:rPr>
      </w:r>
    </w:p>
    <w:p w:rsidR="00000000" w:rsidDel="00000000" w:rsidP="00000000" w:rsidRDefault="00000000" w:rsidRPr="00000000" w14:paraId="0000000B">
      <w:pPr>
        <w:spacing w:after="80" w:lineRule="auto"/>
        <w:jc w:val="both"/>
        <w:rPr/>
      </w:pPr>
      <w:r w:rsidDel="00000000" w:rsidR="00000000" w:rsidRPr="00000000">
        <w:rPr>
          <w:rFonts w:ascii="Times New Roman" w:cs="Times New Roman" w:eastAsia="Times New Roman" w:hAnsi="Times New Roman"/>
          <w:b w:val="1"/>
          <w:bCs w:val="1"/>
          <w:sz w:val="18"/>
          <w:szCs w:val="18"/>
          <w:rtl w:val="0"/>
        </w:rPr>
        <w:t xml:space="preserve">Keywords: </w:t>
      </w:r>
      <w:r w:rsidDel="00000000" w:rsidR="00000000" w:rsidRPr="00000000">
        <w:rPr>
          <w:rFonts w:ascii="Times New Roman" w:cs="Times New Roman" w:eastAsia="Times New Roman" w:hAnsi="Times New Roman"/>
          <w:sz w:val="18"/>
          <w:szCs w:val="18"/>
          <w:rtl w:val="0"/>
        </w:rPr>
        <w:t xml:space="preserve">IPO, Underwriters, Indian Market, Underwriting Quality, Underwriter Reputation, IPO Performance, Subscription Rates, Post-listing Volatility, Emerging Markets, Financial Markets</w:t>
      </w:r>
      <w:r w:rsidDel="00000000" w:rsidR="00000000" w:rsidRPr="00000000">
        <w:rPr>
          <w:rtl w:val="0"/>
        </w:rPr>
      </w:r>
    </w:p>
    <w:p w:rsidR="00000000" w:rsidDel="00000000" w:rsidP="00000000" w:rsidRDefault="00000000" w:rsidRPr="00000000" w14:paraId="0000000C">
      <w:pPr>
        <w:pBdr>
          <w:bottom w:color="000000" w:space="1" w:sz="6" w:val="single"/>
        </w:pBdr>
        <w:spacing w:after="0" w:lineRule="auto"/>
        <w:ind w:right="4680"/>
        <w:rPr/>
      </w:pPr>
      <w:r w:rsidDel="00000000" w:rsidR="00000000" w:rsidRPr="00000000">
        <w:rPr>
          <w:rtl w:val="0"/>
        </w:rPr>
      </w:r>
    </w:p>
    <w:p w:rsidR="00000000" w:rsidDel="00000000" w:rsidP="00000000" w:rsidRDefault="00000000" w:rsidRPr="00000000" w14:paraId="0000000D">
      <w:pPr>
        <w:spacing w:after="120" w:lineRule="auto"/>
        <w:jc w:val="both"/>
        <w:rPr/>
      </w:pPr>
      <w:r w:rsidDel="00000000" w:rsidR="00000000" w:rsidRPr="00000000">
        <w:rPr>
          <w:rFonts w:ascii="Times New Roman" w:cs="Times New Roman" w:eastAsia="Times New Roman" w:hAnsi="Times New Roman"/>
          <w:b w:val="1"/>
          <w:bCs w:val="1"/>
          <w:sz w:val="24"/>
          <w:szCs w:val="24"/>
          <w:rtl w:val="0"/>
        </w:rPr>
        <w:t xml:space="preserve">1. INTRODUCTION:</w:t>
      </w:r>
      <w:r w:rsidDel="00000000" w:rsidR="00000000" w:rsidRPr="00000000">
        <w:rPr>
          <w:rtl w:val="0"/>
        </w:rPr>
      </w:r>
    </w:p>
    <w:p w:rsidR="00000000" w:rsidDel="00000000" w:rsidP="00000000" w:rsidRDefault="00000000" w:rsidRPr="00000000" w14:paraId="0000000E">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Initial Public Offerings (IPOs) represent a significant milestone for companies seeking to expand their capital base and enhance their visibility in the market. In emerging economies like India, IPOs have gained prominence as a major tool for companies to raise funds and tap into the potential of the capital markets. The success of an IPO, however, is not solely dependent on the issuing company's financial health or business prospects but is also heavily influenced by the role of underwriters. Underwriters, typically investment banks or financial institutions, act as intermediaries between the company going public and the investors, playing a pivotal role in the pricing, marketing, and distribution of the shares. Their involvement in the IPO process is critical, as they not only help in determining the offer price but also manage the risk associated with the IPO, ensuring the offering is well-received by the market. (Sharma, D., &amp; Verma, N., 2020)</w:t>
      </w:r>
      <w:r w:rsidDel="00000000" w:rsidR="00000000" w:rsidRPr="00000000">
        <w:rPr>
          <w:rtl w:val="0"/>
        </w:rPr>
      </w:r>
    </w:p>
    <w:p w:rsidR="00000000" w:rsidDel="00000000" w:rsidP="00000000" w:rsidRDefault="00000000" w:rsidRPr="00000000" w14:paraId="0000000F">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In the context of the Indian market, underwriters have a profound impact on the success of IPOs due to the unique market conditions, investor behaviour, and regulatory framework that define this emerging economy. Despite the increasing number of IPOs in India, many companies face challenges related to subscription rates, post-listing performance, and volatility. Thus, the underwriting process becomes a key determinant of an IPO's success. This paper seeks to analyze the role of underwriters in the Indian IPO market, focusing on the influence of underwriting quality and reputation on the overall success of an offering.</w:t>
      </w:r>
      <w:r w:rsidDel="00000000" w:rsidR="00000000" w:rsidRPr="00000000">
        <w:rPr>
          <w:rtl w:val="0"/>
        </w:rPr>
      </w:r>
    </w:p>
    <w:p w:rsidR="00000000" w:rsidDel="00000000" w:rsidP="00000000" w:rsidRDefault="00000000" w:rsidRPr="00000000" w14:paraId="00000010">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Through a comprehensive review of IPOs launched in India over the past decade, this research explores the factors that contribute to successful IPOs, emphasizing the importance of underwriters in shaping the outcome of these offerings. By evaluating both the pre-IPO and post-IPO dynamics, this study provides valuable insights into how underwriters impact the financial performance, investor confidence, and long-term sustainability of companies going public in India. (Rathi, S., &amp; Gupta, R., 2014).</w:t>
      </w:r>
      <w:r w:rsidDel="00000000" w:rsidR="00000000" w:rsidRPr="00000000">
        <w:rPr>
          <w:rtl w:val="0"/>
        </w:rPr>
      </w:r>
    </w:p>
    <w:p w:rsidR="00000000" w:rsidDel="00000000" w:rsidP="00000000" w:rsidRDefault="00000000" w:rsidRPr="00000000" w14:paraId="00000011">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The findings of this paper are expected to offer a better understanding of the key factors that drive IPO success in India, and contribute to the broader literature on IPOs in emerging markets, where the role of underwriters is often more critical due to the developing nature of financial markets and investor behaviour.</w:t>
      </w:r>
      <w:r w:rsidDel="00000000" w:rsidR="00000000" w:rsidRPr="00000000">
        <w:rPr>
          <w:rtl w:val="0"/>
        </w:rPr>
      </w:r>
    </w:p>
    <w:p w:rsidR="00000000" w:rsidDel="00000000" w:rsidP="00000000" w:rsidRDefault="00000000" w:rsidRPr="00000000" w14:paraId="00000012">
      <w:pPr>
        <w:spacing w:after="120" w:lineRule="auto"/>
        <w:jc w:val="both"/>
        <w:rPr/>
      </w:pPr>
      <w:r w:rsidDel="00000000" w:rsidR="00000000" w:rsidRPr="00000000">
        <w:rPr>
          <w:rFonts w:ascii="Times New Roman" w:cs="Times New Roman" w:eastAsia="Times New Roman" w:hAnsi="Times New Roman"/>
          <w:i w:val="1"/>
          <w:iCs w:val="1"/>
          <w:sz w:val="24"/>
          <w:szCs w:val="24"/>
          <w:rtl w:val="0"/>
        </w:rPr>
        <w:t xml:space="preserve">1.1 Overview of Initial Public Offerings (IPOs):</w:t>
      </w:r>
      <w:r w:rsidDel="00000000" w:rsidR="00000000" w:rsidRPr="00000000">
        <w:rPr>
          <w:rtl w:val="0"/>
        </w:rPr>
      </w:r>
    </w:p>
    <w:p w:rsidR="00000000" w:rsidDel="00000000" w:rsidP="00000000" w:rsidRDefault="00000000" w:rsidRPr="00000000" w14:paraId="00000013">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An Initial Public Offering (IPO) is the process through which a privately-held company offers its shares to the public for the first time, effectively becoming a publicly traded entity. This move allows the company to raise capital from a wide pool of investors, typically to fund expansion, reduce debt, or enhance its public profile. IPOs are an essential mechanism for companies to access public markets and increase their financial flexibility. The process involves the company, along with underwriters—usually investment banks—who assist in determining the offer price, managing the sale, and ensuring regulatory compliance. IPOs are often seen as a major milestone in a company’s growth, marking its transition from a private to a public entity and providing liquidity to early investors and founders. The pricing and success of an IPO are influenced by various factors, including market conditions, investor sentiment, and the company’s financial health and future prospects. (Shah, M., &amp; Mishra, S., 2018).</w:t>
      </w:r>
      <w:r w:rsidDel="00000000" w:rsidR="00000000" w:rsidRPr="00000000">
        <w:rPr>
          <w:rtl w:val="0"/>
        </w:rPr>
      </w:r>
    </w:p>
    <w:p w:rsidR="00000000" w:rsidDel="00000000" w:rsidP="00000000" w:rsidRDefault="00000000" w:rsidRPr="00000000" w14:paraId="00000014">
      <w:pPr>
        <w:spacing w:after="120" w:lineRule="auto"/>
        <w:jc w:val="both"/>
        <w:rPr/>
      </w:pPr>
      <w:r w:rsidDel="00000000" w:rsidR="00000000" w:rsidRPr="00000000">
        <w:rPr>
          <w:rFonts w:ascii="Times New Roman" w:cs="Times New Roman" w:eastAsia="Times New Roman" w:hAnsi="Times New Roman"/>
          <w:i w:val="1"/>
          <w:iCs w:val="1"/>
          <w:sz w:val="24"/>
          <w:szCs w:val="24"/>
          <w:rtl w:val="0"/>
        </w:rPr>
        <w:t xml:space="preserve">1.2 Importance of IPOs in the Corporate Finance Landscape</w:t>
      </w:r>
      <w:r w:rsidDel="00000000" w:rsidR="00000000" w:rsidRPr="00000000">
        <w:rPr>
          <w:rtl w:val="0"/>
        </w:rPr>
      </w:r>
    </w:p>
    <w:p w:rsidR="00000000" w:rsidDel="00000000" w:rsidP="00000000" w:rsidRDefault="00000000" w:rsidRPr="00000000" w14:paraId="00000015">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IPOs play a critical role in the corporate finance landscape by offering companies an opportunity to raise significant capital to fund their growth and expansion initiatives. By going public, a company gains access to a broader base of investors, allowing it to raise funds that would otherwise be difficult to obtain through private financing. The capital raised from an IPO can be used for a variety of strategic purposes, including debt reduction, acquisition funding, capital expenditures, and general working capital needs. Furthermore, an IPO provides increased visibility and credibility, which can enhance the company’s market presence and attract more business opportunities. For investors, IPOs provide an opportunity to buy shares in a company at its early stages of public trading, potentially benefiting from long-term growth. Overall, IPOs are a cornerstone of the corporate finance landscape, offering both companies and investors a unique avenue for growth, financial structuring, and wealth generation. (Rao, P., &amp; Reddy, B., 2019).</w:t>
      </w:r>
      <w:r w:rsidDel="00000000" w:rsidR="00000000" w:rsidRPr="00000000">
        <w:rPr>
          <w:rtl w:val="0"/>
        </w:rPr>
      </w:r>
    </w:p>
    <w:p w:rsidR="00000000" w:rsidDel="00000000" w:rsidP="00000000" w:rsidRDefault="00000000" w:rsidRPr="00000000" w14:paraId="00000016">
      <w:pPr>
        <w:spacing w:after="120" w:lineRule="auto"/>
        <w:jc w:val="both"/>
        <w:rPr/>
      </w:pPr>
      <w:r w:rsidDel="00000000" w:rsidR="00000000" w:rsidRPr="00000000">
        <w:rPr>
          <w:rFonts w:ascii="Times New Roman" w:cs="Times New Roman" w:eastAsia="Times New Roman" w:hAnsi="Times New Roman"/>
          <w:i w:val="1"/>
          <w:iCs w:val="1"/>
          <w:sz w:val="24"/>
          <w:szCs w:val="24"/>
          <w:rtl w:val="0"/>
        </w:rPr>
        <w:t xml:space="preserve">1.3 The Role of Underwriters in IPO Success</w:t>
      </w:r>
      <w:r w:rsidDel="00000000" w:rsidR="00000000" w:rsidRPr="00000000">
        <w:rPr>
          <w:rtl w:val="0"/>
        </w:rPr>
      </w:r>
    </w:p>
    <w:p w:rsidR="00000000" w:rsidDel="00000000" w:rsidP="00000000" w:rsidRDefault="00000000" w:rsidRPr="00000000" w14:paraId="00000017">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Underwriters play a crucial role in the success of an IPO by acting as intermediaries between the issuing company and the investing public. Typically investment banks, underwriters assist companies in the preparation and execution of their IPOs by providing essential services such as pricing, marketing, and distribution of shares. They help the company determine the optimal offer price based on market conditions, investor demand, and the company’s financials. Additionally, underwriters conduct due diligence to ensure the company meets all regulatory requirements and financial disclosures. Their expertise and reputation significantly impact investor confidence and the success of the offering. In some cases, underwriters also commit to purchasing a portion of the shares themselves to guarantee that the IPO is fully subscribed. By managing risks, ensuring proper marketing, and offering guidance throughout the IPO process, underwriters are central to the overall success and smooth execution of the IPO, helping to ensure that the offering meets or exceeds its capital-raising targets. (Mookerjee, R., &amp; Ray, S., 2015).</w:t>
      </w:r>
      <w:r w:rsidDel="00000000" w:rsidR="00000000" w:rsidRPr="00000000">
        <w:rPr>
          <w:rtl w:val="0"/>
        </w:rPr>
      </w:r>
    </w:p>
    <w:p w:rsidR="00000000" w:rsidDel="00000000" w:rsidP="00000000" w:rsidRDefault="00000000" w:rsidRPr="00000000" w14:paraId="00000018">
      <w:pPr>
        <w:spacing w:after="120" w:lineRule="auto"/>
        <w:jc w:val="both"/>
        <w:rPr/>
      </w:pPr>
      <w:r w:rsidDel="00000000" w:rsidR="00000000" w:rsidRPr="00000000">
        <w:rPr>
          <w:rFonts w:ascii="Times New Roman" w:cs="Times New Roman" w:eastAsia="Times New Roman" w:hAnsi="Times New Roman"/>
          <w:i w:val="1"/>
          <w:iCs w:val="1"/>
          <w:sz w:val="24"/>
          <w:szCs w:val="24"/>
          <w:rtl w:val="0"/>
        </w:rPr>
        <w:t xml:space="preserve">1.4 The Significance of Underwriters in Emerging Markets</w:t>
      </w:r>
      <w:r w:rsidDel="00000000" w:rsidR="00000000" w:rsidRPr="00000000">
        <w:rPr>
          <w:rtl w:val="0"/>
        </w:rPr>
      </w:r>
    </w:p>
    <w:p w:rsidR="00000000" w:rsidDel="00000000" w:rsidP="00000000" w:rsidRDefault="00000000" w:rsidRPr="00000000" w14:paraId="00000019">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Underwriters play a particularly significant role in emerging markets due to the unique challenges these markets present, such as higher volatility, less-developed investor bases, and regulatory uncertainties. In these markets, the expertise of underwriters becomes essential in navigating the complexities of the capital-raising process. Underwriters in emerging markets help companies price their IPOs appropriately to attract both domestic and international investors. Their reputation and market knowledge are crucial in managing risks associated with fluctuating market conditions, investor sentiment, and potential political or economic instability. By offering guidance on the IPO process, underwriters also help build trust with investors, which is vital in markets that may lack the historical stability or transparency of more developed financial systems. In essence, underwriters in emerging markets serve as critical facilitators, mitigating risks and enhancing the likelihood of a successful offering in a more unpredictable financial environment. (Kumar, V., &amp; Sharma, S., 2021).</w:t>
      </w:r>
      <w:r w:rsidDel="00000000" w:rsidR="00000000" w:rsidRPr="00000000">
        <w:rPr>
          <w:rtl w:val="0"/>
        </w:rPr>
      </w:r>
    </w:p>
    <w:p w:rsidR="00000000" w:rsidDel="00000000" w:rsidP="00000000" w:rsidRDefault="00000000" w:rsidRPr="00000000" w14:paraId="0000001A">
      <w:pPr>
        <w:spacing w:after="120" w:lineRule="auto"/>
        <w:jc w:val="both"/>
        <w:rPr/>
      </w:pPr>
      <w:r w:rsidDel="00000000" w:rsidR="00000000" w:rsidRPr="00000000">
        <w:rPr>
          <w:rFonts w:ascii="Times New Roman" w:cs="Times New Roman" w:eastAsia="Times New Roman" w:hAnsi="Times New Roman"/>
          <w:i w:val="1"/>
          <w:iCs w:val="1"/>
          <w:sz w:val="24"/>
          <w:szCs w:val="24"/>
          <w:rtl w:val="0"/>
        </w:rPr>
        <w:t xml:space="preserve">1.5 India's Growing IPO Market: An Introduction</w:t>
      </w:r>
      <w:r w:rsidDel="00000000" w:rsidR="00000000" w:rsidRPr="00000000">
        <w:rPr>
          <w:rtl w:val="0"/>
        </w:rPr>
      </w:r>
    </w:p>
    <w:p w:rsidR="00000000" w:rsidDel="00000000" w:rsidP="00000000" w:rsidRDefault="00000000" w:rsidRPr="00000000" w14:paraId="0000001B">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India's IPO market has experienced significant growth in recent years, driven by the country’s burgeoning economy, increasing investor participation, and an expanding corporate sector. As one of the fastest-growing emerging markets, India offers a diverse range of investment opportunities, making IPOs an attractive means for companies to raise capital. The increasing number of companies listing on Indian stock exchanges, especially from sectors like technology, infrastructure, and consumer goods, reflects both the development of the country’s capital markets and the growing confidence of investors in its economic prospects. Regulatory changes, such as those introduced by the Securities and Exchange Board of India (SEBI), have made the IPO process more transparent and investor-friendly. However, despite these positive trends, challenges persist, including the volatility of the Indian stock market and the complexities of pricing and subscription. The significance of IPOs in India lies not only in providing companies with the financial resources for growth but also in fostering investor participation in the nation's economic expansion. (Kapoor, S., &amp; Mehra, S., 2017).</w:t>
      </w:r>
      <w:r w:rsidDel="00000000" w:rsidR="00000000" w:rsidRPr="00000000">
        <w:rPr>
          <w:rtl w:val="0"/>
        </w:rPr>
      </w:r>
    </w:p>
    <w:p w:rsidR="00000000" w:rsidDel="00000000" w:rsidP="00000000" w:rsidRDefault="00000000" w:rsidRPr="00000000" w14:paraId="0000001C">
      <w:pPr>
        <w:spacing w:after="120" w:lineRule="auto"/>
        <w:jc w:val="both"/>
        <w:rPr/>
      </w:pPr>
      <w:r w:rsidDel="00000000" w:rsidR="00000000" w:rsidRPr="00000000">
        <w:rPr>
          <w:rFonts w:ascii="Times New Roman" w:cs="Times New Roman" w:eastAsia="Times New Roman" w:hAnsi="Times New Roman"/>
          <w:i w:val="1"/>
          <w:iCs w:val="1"/>
          <w:sz w:val="24"/>
          <w:szCs w:val="24"/>
          <w:rtl w:val="0"/>
        </w:rPr>
        <w:t xml:space="preserve">1.6 Factors Affecting the Success of IPOs</w:t>
      </w:r>
      <w:r w:rsidDel="00000000" w:rsidR="00000000" w:rsidRPr="00000000">
        <w:rPr>
          <w:rtl w:val="0"/>
        </w:rPr>
      </w:r>
    </w:p>
    <w:p w:rsidR="00000000" w:rsidDel="00000000" w:rsidP="00000000" w:rsidRDefault="00000000" w:rsidRPr="00000000" w14:paraId="0000001D">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The success of an IPO is influenced by a variety of factors, ranging from market conditions to the company’s financial health and the quality of underwriting. One of the most critical elements is the pricing strategy, as overpricing or underpricing can significantly affect investor interest and long-term performance. Market conditions, such as overall economic climate, investor sentiment, and stock market performance, can also play a pivotal role in determining the success of an IPO. (Aggarwal, R., &amp; Rivoli, P., 2013). The strength of the company's financial performance, its growth prospects, and the quality of its management team are key determinants of investor confidence. Additionally, underwriters' reputation and their ability to market the IPO effectively can directly influence subscription rates and post-listing stability. Regulatory factors, such as transparency and disclosure requirements, also play an important role in ensuring that investors have enough information to make informed decisions. Lastly, the overall demand for IPOs within the market, shaped by factors such as the industry’s attractiveness and investor risk appetite, can significantly influence the outcome of the offering. The interplay of these factors determines whether an IPO will be deemed a success, both in terms of its capital-raising goals and its long-term market performance. (Jain, R., &amp; Soni, A., 2016)</w:t>
      </w:r>
      <w:r w:rsidDel="00000000" w:rsidR="00000000" w:rsidRPr="00000000">
        <w:rPr>
          <w:rtl w:val="0"/>
        </w:rPr>
      </w:r>
    </w:p>
    <w:p w:rsidR="00000000" w:rsidDel="00000000" w:rsidP="00000000" w:rsidRDefault="00000000" w:rsidRPr="00000000" w14:paraId="0000001E">
      <w:pPr>
        <w:spacing w:after="120" w:lineRule="auto"/>
        <w:jc w:val="both"/>
        <w:rPr/>
      </w:pPr>
      <w:r w:rsidDel="00000000" w:rsidR="00000000" w:rsidRPr="00000000">
        <w:rPr>
          <w:rFonts w:ascii="Times New Roman" w:cs="Times New Roman" w:eastAsia="Times New Roman" w:hAnsi="Times New Roman"/>
          <w:i w:val="1"/>
          <w:iCs w:val="1"/>
          <w:sz w:val="24"/>
          <w:szCs w:val="24"/>
          <w:rtl w:val="0"/>
        </w:rPr>
        <w:t xml:space="preserve">1.7 Understanding the Underwriting Process in IPOs</w:t>
      </w:r>
      <w:r w:rsidDel="00000000" w:rsidR="00000000" w:rsidRPr="00000000">
        <w:rPr>
          <w:rtl w:val="0"/>
        </w:rPr>
      </w:r>
    </w:p>
    <w:p w:rsidR="00000000" w:rsidDel="00000000" w:rsidP="00000000" w:rsidRDefault="00000000" w:rsidRPr="00000000" w14:paraId="0000001F">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The underwriting process in an IPO involves a series of steps that facilitate the transition of a company from private ownership to public ownership. The process typically begins with the selection of underwriters, usually investment banks or financial institutions, who guide the company through the entire IPO journey. The underwriters assist the company in preparing the necessary documentation, including the prospectus, which provides potential investors with key details about the company, its business model, and financial performance. One of the primary tasks of underwriters is to help determine the offer price, which is critical to ensuring the IPO's success. (Alsaifi, K., &amp; Nassar, D., 2019). The underwriters also conduct due diligence to ensure all financial and legal aspects of the company are in order, ensuring compliance with regulatory standards. Following this, they engage in the marketing of the IPO, often through roadshows and investor presentations, to build demand for the offering. Once the IPO is launched, underwriters take on the responsibility of managing the distribution of shares to investors and ensuring the offering is adequately subscribed. In some cases, they may even buy a portion of the shares themselves to guarantee full subscription, thus minimizing the risk for the issuing company. Overall, underwriters are integral in managing both the risks and logistics associated with the IPO process, aiming to ensure that the company successfully meets its capital-raising objectives. (Dhamija, P., &amp; Kumar, A., 2018).</w:t>
      </w:r>
      <w:r w:rsidDel="00000000" w:rsidR="00000000" w:rsidRPr="00000000">
        <w:rPr>
          <w:rtl w:val="0"/>
        </w:rPr>
      </w:r>
    </w:p>
    <w:p w:rsidR="00000000" w:rsidDel="00000000" w:rsidP="00000000" w:rsidRDefault="00000000" w:rsidRPr="00000000" w14:paraId="00000020">
      <w:pPr>
        <w:spacing w:after="120" w:lineRule="auto"/>
        <w:jc w:val="both"/>
        <w:rPr/>
      </w:pPr>
      <w:r w:rsidDel="00000000" w:rsidR="00000000" w:rsidRPr="00000000">
        <w:rPr>
          <w:rFonts w:ascii="Times New Roman" w:cs="Times New Roman" w:eastAsia="Times New Roman" w:hAnsi="Times New Roman"/>
          <w:i w:val="1"/>
          <w:iCs w:val="1"/>
          <w:sz w:val="24"/>
          <w:szCs w:val="24"/>
          <w:rtl w:val="0"/>
        </w:rPr>
        <w:t xml:space="preserve">1.8 Underwriters’ Influence on Pricing and Subscription Rates</w:t>
      </w:r>
      <w:r w:rsidDel="00000000" w:rsidR="00000000" w:rsidRPr="00000000">
        <w:rPr>
          <w:rtl w:val="0"/>
        </w:rPr>
      </w:r>
    </w:p>
    <w:p w:rsidR="00000000" w:rsidDel="00000000" w:rsidP="00000000" w:rsidRDefault="00000000" w:rsidRPr="00000000" w14:paraId="00000021">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Underwriters play a pivotal role in determining the pricing and subscription rates of an IPO, which directly impacts its success. The pricing of an IPO is one of the most critical aspects of the process, as it must strike a balance between raising sufficient capital for the company while ensuring the offering is attractive to potential investors. Underwriters use various methods to establish a fair price, including analyzing comparable companies in the market, evaluating the company’s growth prospects, and considering overall market conditions. They also rely on their market knowledge and investor network to gauge demand and set an initial price range that aligns with investor expectations. (Banerjee, A., &amp; Gupta, S., 2015). The underwriters’ reputation and credibility significantly influence the level of investor confidence, impacting subscription rates. A strong, well-regarded underwriter can attract more investors, leading to higher subscription rates, while a less reputable one may face challenges in generating demand. Additionally, underwriters may engage in activities such as stabilizing the stock price post-IPO or using green-shoe options to manage oversubscription, further influencing the final subscription rates and overall success of the IPO. Therefore, the underwriters' ability to effectively price and market the offering is essential in determining both the initial and long-term success of the IPO. (Desai, M., &amp; Gupta, A., 2020). </w:t>
      </w:r>
      <w:r w:rsidDel="00000000" w:rsidR="00000000" w:rsidRPr="00000000">
        <w:rPr>
          <w:rtl w:val="0"/>
        </w:rPr>
      </w:r>
    </w:p>
    <w:p w:rsidR="00000000" w:rsidDel="00000000" w:rsidP="00000000" w:rsidRDefault="00000000" w:rsidRPr="00000000" w14:paraId="00000022">
      <w:pPr>
        <w:spacing w:after="120" w:lineRule="auto"/>
        <w:jc w:val="both"/>
        <w:rPr/>
      </w:pPr>
      <w:r w:rsidDel="00000000" w:rsidR="00000000" w:rsidRPr="00000000">
        <w:rPr>
          <w:rFonts w:ascii="Times New Roman" w:cs="Times New Roman" w:eastAsia="Times New Roman" w:hAnsi="Times New Roman"/>
          <w:i w:val="1"/>
          <w:iCs w:val="1"/>
          <w:sz w:val="24"/>
          <w:szCs w:val="24"/>
          <w:rtl w:val="0"/>
        </w:rPr>
        <w:t xml:space="preserve">1.9 Market Dynamics and the Role of Underwriters in India</w:t>
      </w:r>
      <w:r w:rsidDel="00000000" w:rsidR="00000000" w:rsidRPr="00000000">
        <w:rPr>
          <w:rtl w:val="0"/>
        </w:rPr>
      </w:r>
    </w:p>
    <w:p w:rsidR="00000000" w:rsidDel="00000000" w:rsidP="00000000" w:rsidRDefault="00000000" w:rsidRPr="00000000" w14:paraId="00000023">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In the Indian IPO market, the role of underwriters is particularly important given the dynamic and evolving nature of the country’s financial environment. India, with its growing economy and rapidly expanding investor base, offers significant opportunities for companies to tap into public capital markets. However, it also presents unique challenges, such as market volatility, fluctuations in investor sentiment, and occasional regulatory changes, which can affect the performance of IPOs. Underwriters in India must be adept at navigating these challenges, ensuring that the IPO is well-received by investors, and that the company can raise the capital it seeks. (Bhagat, S., &amp; Roman, R., 2017). The role of underwriters in India goes beyond merely pricing and distributing shares; they are responsible for managing the risk associated with the offering, stabilizing the stock price post-listing, and building investor confidence in a market that is still evolving. Their market knowledge and expertise in dealing with Indian investors, who can sometimes be more risk-averse or unfamiliar with certain sectors, are crucial for ensuring the IPO’s success. Moreover, underwriters in India play a key role in educating investors, particularly retail investors, about the potential of the IPO, thus fostering broader market participation. As the Indian IPO market continues to grow, the role of underwriters in shaping its development and ensuring successful outcomes for both issuers and investors remains increasingly important. (Chahine, S., &amp; Tohme, R., 2013)</w:t>
      </w:r>
      <w:r w:rsidDel="00000000" w:rsidR="00000000" w:rsidRPr="00000000">
        <w:rPr>
          <w:rtl w:val="0"/>
        </w:rPr>
      </w:r>
    </w:p>
    <w:p w:rsidR="00000000" w:rsidDel="00000000" w:rsidP="00000000" w:rsidRDefault="00000000" w:rsidRPr="00000000" w14:paraId="00000024">
      <w:pPr>
        <w:spacing w:after="120" w:lineRule="auto"/>
        <w:jc w:val="both"/>
        <w:rPr/>
      </w:pPr>
      <w:r w:rsidDel="00000000" w:rsidR="00000000" w:rsidRPr="00000000">
        <w:rPr>
          <w:rFonts w:ascii="Times New Roman" w:cs="Times New Roman" w:eastAsia="Times New Roman" w:hAnsi="Times New Roman"/>
          <w:b w:val="1"/>
          <w:bCs w:val="1"/>
          <w:sz w:val="24"/>
          <w:szCs w:val="24"/>
          <w:rtl w:val="0"/>
        </w:rPr>
        <w:t xml:space="preserve">2. OBJECTIVES OF THE STUDY:</w:t>
      </w:r>
      <w:r w:rsidDel="00000000" w:rsidR="00000000" w:rsidRPr="00000000">
        <w:rPr>
          <w:rtl w:val="0"/>
        </w:rPr>
      </w:r>
    </w:p>
    <w:p w:rsidR="00000000" w:rsidDel="00000000" w:rsidP="00000000" w:rsidRDefault="00000000" w:rsidRPr="00000000" w14:paraId="00000025">
      <w:pPr>
        <w:numPr>
          <w:ilvl w:val="0"/>
          <w:numId w:val="1"/>
        </w:numPr>
        <w:spacing w:after="120" w:lineRule="auto"/>
        <w:ind w:left="720" w:hanging="360"/>
        <w:jc w:val="both"/>
        <w:rPr/>
      </w:pPr>
      <w:r w:rsidDel="00000000" w:rsidR="00000000" w:rsidRPr="00000000">
        <w:rPr>
          <w:rFonts w:ascii="Times New Roman" w:cs="Times New Roman" w:eastAsia="Times New Roman" w:hAnsi="Times New Roman"/>
          <w:b w:val="1"/>
          <w:bCs w:val="1"/>
          <w:sz w:val="20"/>
          <w:szCs w:val="20"/>
          <w:rtl w:val="0"/>
        </w:rPr>
        <w:t xml:space="preserve">To Analyze the Role of Underwriters in the Success of IPOs in India:</w:t>
      </w:r>
      <w:r w:rsidDel="00000000" w:rsidR="00000000" w:rsidRPr="00000000">
        <w:rPr>
          <w:rFonts w:ascii="Times New Roman" w:cs="Times New Roman" w:eastAsia="Times New Roman" w:hAnsi="Times New Roman"/>
          <w:sz w:val="20"/>
          <w:szCs w:val="20"/>
          <w:rtl w:val="0"/>
        </w:rPr>
        <w:t xml:space="preserve"> This objective aims to examine how underwriters contribute to the overall success of IPOs in the Indian market, focusing on aspects such as pricing, marketing, and distribution of shares.</w:t>
      </w:r>
      <w:r w:rsidDel="00000000" w:rsidR="00000000" w:rsidRPr="00000000">
        <w:rPr>
          <w:rtl w:val="0"/>
        </w:rPr>
      </w:r>
    </w:p>
    <w:p w:rsidR="00000000" w:rsidDel="00000000" w:rsidP="00000000" w:rsidRDefault="00000000" w:rsidRPr="00000000" w14:paraId="00000026">
      <w:pPr>
        <w:numPr>
          <w:ilvl w:val="0"/>
          <w:numId w:val="1"/>
        </w:numPr>
        <w:spacing w:after="120" w:lineRule="auto"/>
        <w:ind w:left="720" w:hanging="360"/>
        <w:jc w:val="both"/>
        <w:rPr/>
      </w:pPr>
      <w:r w:rsidDel="00000000" w:rsidR="00000000" w:rsidRPr="00000000">
        <w:rPr>
          <w:rFonts w:ascii="Times New Roman" w:cs="Times New Roman" w:eastAsia="Times New Roman" w:hAnsi="Times New Roman"/>
          <w:b w:val="1"/>
          <w:bCs w:val="1"/>
          <w:sz w:val="20"/>
          <w:szCs w:val="20"/>
          <w:rtl w:val="0"/>
        </w:rPr>
        <w:t xml:space="preserve">To Investigate the Impact of Underwriting Quality and Reputation on IPO Performance:</w:t>
      </w:r>
      <w:r w:rsidDel="00000000" w:rsidR="00000000" w:rsidRPr="00000000">
        <w:rPr>
          <w:rFonts w:ascii="Times New Roman" w:cs="Times New Roman" w:eastAsia="Times New Roman" w:hAnsi="Times New Roman"/>
          <w:sz w:val="20"/>
          <w:szCs w:val="20"/>
          <w:rtl w:val="0"/>
        </w:rPr>
        <w:t xml:space="preserve"> This objective will explore how the reputation and expertise of underwriters affect the subscription rates, pricing strategies, and post-listing performance of IPOs in India.</w:t>
      </w:r>
      <w:r w:rsidDel="00000000" w:rsidR="00000000" w:rsidRPr="00000000">
        <w:rPr>
          <w:rtl w:val="0"/>
        </w:rPr>
      </w:r>
    </w:p>
    <w:p w:rsidR="00000000" w:rsidDel="00000000" w:rsidP="00000000" w:rsidRDefault="00000000" w:rsidRPr="00000000" w14:paraId="00000027">
      <w:pPr>
        <w:numPr>
          <w:ilvl w:val="0"/>
          <w:numId w:val="1"/>
        </w:numPr>
        <w:spacing w:after="120" w:lineRule="auto"/>
        <w:ind w:left="720" w:hanging="360"/>
        <w:jc w:val="both"/>
        <w:rPr/>
      </w:pPr>
      <w:r w:rsidDel="00000000" w:rsidR="00000000" w:rsidRPr="00000000">
        <w:rPr>
          <w:rFonts w:ascii="Times New Roman" w:cs="Times New Roman" w:eastAsia="Times New Roman" w:hAnsi="Times New Roman"/>
          <w:b w:val="1"/>
          <w:bCs w:val="1"/>
          <w:sz w:val="20"/>
          <w:szCs w:val="20"/>
          <w:rtl w:val="0"/>
        </w:rPr>
        <w:t xml:space="preserve">To Identify the Key Factors Influencing the Success or Failure of IPOs in India:</w:t>
      </w:r>
      <w:r w:rsidDel="00000000" w:rsidR="00000000" w:rsidRPr="00000000">
        <w:rPr>
          <w:rFonts w:ascii="Times New Roman" w:cs="Times New Roman" w:eastAsia="Times New Roman" w:hAnsi="Times New Roman"/>
          <w:sz w:val="20"/>
          <w:szCs w:val="20"/>
          <w:rtl w:val="0"/>
        </w:rPr>
        <w:t xml:space="preserve"> This objective seeks to identify and analyze various factors, including market conditions, investor sentiment, and regulatory environment, that affect the success or failure of IPOs in the Indian market.</w:t>
      </w:r>
      <w:r w:rsidDel="00000000" w:rsidR="00000000" w:rsidRPr="00000000">
        <w:rPr>
          <w:rtl w:val="0"/>
        </w:rPr>
      </w:r>
    </w:p>
    <w:p w:rsidR="00000000" w:rsidDel="00000000" w:rsidP="00000000" w:rsidRDefault="00000000" w:rsidRPr="00000000" w14:paraId="00000028">
      <w:pPr>
        <w:numPr>
          <w:ilvl w:val="0"/>
          <w:numId w:val="1"/>
        </w:numPr>
        <w:spacing w:after="120" w:lineRule="auto"/>
        <w:ind w:left="720" w:hanging="360"/>
        <w:jc w:val="both"/>
        <w:rPr/>
      </w:pPr>
      <w:r w:rsidDel="00000000" w:rsidR="00000000" w:rsidRPr="00000000">
        <w:rPr>
          <w:rFonts w:ascii="Times New Roman" w:cs="Times New Roman" w:eastAsia="Times New Roman" w:hAnsi="Times New Roman"/>
          <w:b w:val="1"/>
          <w:bCs w:val="1"/>
          <w:sz w:val="20"/>
          <w:szCs w:val="20"/>
          <w:rtl w:val="0"/>
        </w:rPr>
        <w:t xml:space="preserve">To Assess the Role of Underwriters in Managing IPO Risks and Ensuring Investor Confidence in the Indian Market:</w:t>
      </w:r>
      <w:r w:rsidDel="00000000" w:rsidR="00000000" w:rsidRPr="00000000">
        <w:rPr>
          <w:rFonts w:ascii="Times New Roman" w:cs="Times New Roman" w:eastAsia="Times New Roman" w:hAnsi="Times New Roman"/>
          <w:sz w:val="20"/>
          <w:szCs w:val="20"/>
          <w:rtl w:val="0"/>
        </w:rPr>
        <w:t xml:space="preserve"> This objective aims to understand how underwriters help mitigate risks, build investor confidence, and ensure the smooth execution of IPOs, particularly in a volatile and emerging market like India.</w:t>
      </w:r>
      <w:r w:rsidDel="00000000" w:rsidR="00000000" w:rsidRPr="00000000">
        <w:rPr>
          <w:rtl w:val="0"/>
        </w:rPr>
      </w:r>
    </w:p>
    <w:p w:rsidR="00000000" w:rsidDel="00000000" w:rsidP="00000000" w:rsidRDefault="00000000" w:rsidRPr="00000000" w14:paraId="00000029">
      <w:pPr>
        <w:spacing w:after="120" w:lineRule="auto"/>
        <w:jc w:val="both"/>
        <w:rPr/>
      </w:pPr>
      <w:r w:rsidDel="00000000" w:rsidR="00000000" w:rsidRPr="00000000">
        <w:rPr>
          <w:rFonts w:ascii="Times New Roman" w:cs="Times New Roman" w:eastAsia="Times New Roman" w:hAnsi="Times New Roman"/>
          <w:b w:val="1"/>
          <w:bCs w:val="1"/>
          <w:sz w:val="24"/>
          <w:szCs w:val="24"/>
          <w:rtl w:val="0"/>
        </w:rPr>
        <w:t xml:space="preserve">3. RESEARCH METHODOLOGY</w:t>
      </w:r>
      <w:r w:rsidDel="00000000" w:rsidR="00000000" w:rsidRPr="00000000">
        <w:rPr>
          <w:rtl w:val="0"/>
        </w:rPr>
      </w:r>
    </w:p>
    <w:p w:rsidR="00000000" w:rsidDel="00000000" w:rsidP="00000000" w:rsidRDefault="00000000" w:rsidRPr="00000000" w14:paraId="0000002A">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This study focuses on analyzing the role of underwriters in the success of Initial Public Offerings (IPOs) in India, as well as exploring the impact of underwriting quality, reputation, marketing strategies, and market conditions on IPO performance. A quantitative research approach is employed to collect and analyze secondary data from multiple IPOs conducted in India. The data was obtained from a variety of sources, including IPO prospectuses, financial reports, and market analyses. The research aims to understand how the reputation and expertise of underwriters affect factors such as pricing, subscription rates, and post-listing performance.</w:t>
      </w:r>
      <w:r w:rsidDel="00000000" w:rsidR="00000000" w:rsidRPr="00000000">
        <w:rPr>
          <w:rtl w:val="0"/>
        </w:rPr>
      </w:r>
    </w:p>
    <w:p w:rsidR="00000000" w:rsidDel="00000000" w:rsidP="00000000" w:rsidRDefault="00000000" w:rsidRPr="00000000" w14:paraId="0000002B">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The methodology involves gathering data on several key aspects: underwriter reputation, IPO pricing, subscription rates, post-listing returns, market conditions, and the marketing strategies employed during the IPO. The underwriter's contribution to the success of the IPO is assessed through metrics such as the final offer price compared to the initial price range, the subscription rate, and the first-day closing price. Additionally, the data also examines the marketing efforts, distribution channels, and investor sentiment surrounding the IPO. The market conditions (bull or bear) and the volatility index are also considered to assess the influence of external factors on IPO performance.</w:t>
      </w:r>
      <w:r w:rsidDel="00000000" w:rsidR="00000000" w:rsidRPr="00000000">
        <w:rPr>
          <w:rtl w:val="0"/>
        </w:rPr>
      </w:r>
    </w:p>
    <w:p w:rsidR="00000000" w:rsidDel="00000000" w:rsidP="00000000" w:rsidRDefault="00000000" w:rsidRPr="00000000" w14:paraId="0000002C">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Data analysis is performed using descriptive and inferential statistical methods. Descriptive statistics are used to summarize the key features of the data, while inferential statistics help identify patterns and relationships between underwriter characteristics, marketing strategies, and IPO success factors. The findings from these analyses will provide insights into the role of underwriters and other key factors influencing IPO performance in India.</w:t>
      </w:r>
      <w:r w:rsidDel="00000000" w:rsidR="00000000" w:rsidRPr="00000000">
        <w:rPr>
          <w:rtl w:val="0"/>
        </w:rPr>
      </w:r>
    </w:p>
    <w:p w:rsidR="00000000" w:rsidDel="00000000" w:rsidP="00000000" w:rsidRDefault="00000000" w:rsidRPr="00000000" w14:paraId="0000002D">
      <w:pPr>
        <w:spacing w:after="120" w:lineRule="auto"/>
        <w:jc w:val="both"/>
        <w:rPr/>
      </w:pPr>
      <w:r w:rsidDel="00000000" w:rsidR="00000000" w:rsidRPr="00000000">
        <w:rPr>
          <w:rFonts w:ascii="Times New Roman" w:cs="Times New Roman" w:eastAsia="Times New Roman" w:hAnsi="Times New Roman"/>
          <w:b w:val="1"/>
          <w:bCs w:val="1"/>
          <w:sz w:val="24"/>
          <w:szCs w:val="24"/>
          <w:rtl w:val="0"/>
        </w:rPr>
        <w:t xml:space="preserve">4. DATA ANALYSIS</w:t>
      </w:r>
      <w:r w:rsidDel="00000000" w:rsidR="00000000" w:rsidRPr="00000000">
        <w:rPr>
          <w:rtl w:val="0"/>
        </w:rPr>
      </w:r>
    </w:p>
    <w:p w:rsidR="00000000" w:rsidDel="00000000" w:rsidP="00000000" w:rsidRDefault="00000000" w:rsidRPr="00000000" w14:paraId="0000002E">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The data analysis reveals significant insights into the factors that contribute to IPO success and the role of underwriters in influencing IPO outcomes. </w:t>
      </w:r>
      <w:r w:rsidDel="00000000" w:rsidR="00000000" w:rsidRPr="00000000">
        <w:rPr>
          <w:rtl w:val="0"/>
        </w:rPr>
      </w:r>
    </w:p>
    <w:p w:rsidR="00000000" w:rsidDel="00000000" w:rsidP="00000000" w:rsidRDefault="00000000" w:rsidRPr="00000000" w14:paraId="0000002F">
      <w:pPr>
        <w:spacing w:after="120" w:lineRule="auto"/>
        <w:ind w:firstLine="530"/>
        <w:jc w:val="center"/>
        <w:rPr/>
      </w:pPr>
      <w:r w:rsidDel="00000000" w:rsidR="00000000" w:rsidRPr="00000000">
        <w:rPr>
          <w:rFonts w:ascii="Times New Roman" w:cs="Times New Roman" w:eastAsia="Times New Roman" w:hAnsi="Times New Roman"/>
          <w:b w:val="1"/>
          <w:bCs w:val="1"/>
          <w:sz w:val="20"/>
          <w:szCs w:val="20"/>
          <w:rtl w:val="0"/>
        </w:rPr>
        <w:t xml:space="preserve">Table 4.1: IPO Pricing and Underwriting Data</w:t>
      </w:r>
      <w:r w:rsidDel="00000000" w:rsidR="00000000" w:rsidRPr="00000000">
        <w:rPr>
          <w:rtl w:val="0"/>
        </w:rPr>
      </w:r>
    </w:p>
    <w:tbl>
      <w:tblPr>
        <w:tblStyle w:val="Table2"/>
        <w:tblW w:w="935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21"/>
        <w:gridCol w:w="1335"/>
        <w:gridCol w:w="1310"/>
        <w:gridCol w:w="1307"/>
        <w:gridCol w:w="1336"/>
        <w:gridCol w:w="1314"/>
        <w:gridCol w:w="1427"/>
        <w:tblGridChange w:id="0">
          <w:tblGrid>
            <w:gridCol w:w="1321"/>
            <w:gridCol w:w="1335"/>
            <w:gridCol w:w="1310"/>
            <w:gridCol w:w="1307"/>
            <w:gridCol w:w="1336"/>
            <w:gridCol w:w="1314"/>
            <w:gridCol w:w="1427"/>
          </w:tblGrid>
        </w:tblGridChange>
      </w:tblGrid>
      <w:tr>
        <w:trPr>
          <w:cantSplit w:val="0"/>
          <w:tblHeader w:val="0"/>
        </w:trPr>
        <w:tc>
          <w:tcPr/>
          <w:p w:rsidR="00000000" w:rsidDel="00000000" w:rsidP="00000000" w:rsidRDefault="00000000" w:rsidRPr="00000000" w14:paraId="00000030">
            <w:pPr>
              <w:spacing w:after="120" w:line="240" w:lineRule="auto"/>
              <w:jc w:val="center"/>
              <w:rPr/>
            </w:pPr>
            <w:r w:rsidDel="00000000" w:rsidR="00000000" w:rsidRPr="00000000">
              <w:rPr>
                <w:rFonts w:ascii="Times New Roman" w:cs="Times New Roman" w:eastAsia="Times New Roman" w:hAnsi="Times New Roman"/>
                <w:b w:val="1"/>
                <w:bCs w:val="1"/>
                <w:sz w:val="20"/>
                <w:szCs w:val="20"/>
                <w:rtl w:val="0"/>
              </w:rPr>
              <w:t xml:space="preserve">IPO Name</w:t>
            </w:r>
            <w:r w:rsidDel="00000000" w:rsidR="00000000" w:rsidRPr="00000000">
              <w:rPr>
                <w:rtl w:val="0"/>
              </w:rPr>
            </w:r>
          </w:p>
        </w:tc>
        <w:tc>
          <w:tcPr/>
          <w:p w:rsidR="00000000" w:rsidDel="00000000" w:rsidP="00000000" w:rsidRDefault="00000000" w:rsidRPr="00000000" w14:paraId="00000031">
            <w:pPr>
              <w:spacing w:after="120" w:line="240" w:lineRule="auto"/>
              <w:jc w:val="center"/>
              <w:rPr/>
            </w:pPr>
            <w:r w:rsidDel="00000000" w:rsidR="00000000" w:rsidRPr="00000000">
              <w:rPr>
                <w:rFonts w:ascii="Times New Roman" w:cs="Times New Roman" w:eastAsia="Times New Roman" w:hAnsi="Times New Roman"/>
                <w:b w:val="1"/>
                <w:bCs w:val="1"/>
                <w:sz w:val="20"/>
                <w:szCs w:val="20"/>
                <w:rtl w:val="0"/>
              </w:rPr>
              <w:t xml:space="preserve">Underwriter Reputation</w:t>
            </w:r>
            <w:r w:rsidDel="00000000" w:rsidR="00000000" w:rsidRPr="00000000">
              <w:rPr>
                <w:rtl w:val="0"/>
              </w:rPr>
            </w:r>
          </w:p>
        </w:tc>
        <w:tc>
          <w:tcPr/>
          <w:p w:rsidR="00000000" w:rsidDel="00000000" w:rsidP="00000000" w:rsidRDefault="00000000" w:rsidRPr="00000000" w14:paraId="00000032">
            <w:pPr>
              <w:spacing w:after="120" w:line="240" w:lineRule="auto"/>
              <w:jc w:val="center"/>
              <w:rPr/>
            </w:pPr>
            <w:r w:rsidDel="00000000" w:rsidR="00000000" w:rsidRPr="00000000">
              <w:rPr>
                <w:rFonts w:ascii="Times New Roman" w:cs="Times New Roman" w:eastAsia="Times New Roman" w:hAnsi="Times New Roman"/>
                <w:b w:val="1"/>
                <w:bCs w:val="1"/>
                <w:sz w:val="20"/>
                <w:szCs w:val="20"/>
                <w:rtl w:val="0"/>
              </w:rPr>
              <w:t xml:space="preserve">Price Range (INR)</w:t>
            </w:r>
            <w:r w:rsidDel="00000000" w:rsidR="00000000" w:rsidRPr="00000000">
              <w:rPr>
                <w:rtl w:val="0"/>
              </w:rPr>
            </w:r>
          </w:p>
        </w:tc>
        <w:tc>
          <w:tcPr/>
          <w:p w:rsidR="00000000" w:rsidDel="00000000" w:rsidP="00000000" w:rsidRDefault="00000000" w:rsidRPr="00000000" w14:paraId="00000033">
            <w:pPr>
              <w:spacing w:after="120" w:line="240" w:lineRule="auto"/>
              <w:jc w:val="center"/>
              <w:rPr/>
            </w:pPr>
            <w:r w:rsidDel="00000000" w:rsidR="00000000" w:rsidRPr="00000000">
              <w:rPr>
                <w:rFonts w:ascii="Times New Roman" w:cs="Times New Roman" w:eastAsia="Times New Roman" w:hAnsi="Times New Roman"/>
                <w:b w:val="1"/>
                <w:bCs w:val="1"/>
                <w:sz w:val="20"/>
                <w:szCs w:val="20"/>
                <w:rtl w:val="0"/>
              </w:rPr>
              <w:t xml:space="preserve">Final Offer Price (INR)</w:t>
            </w:r>
            <w:r w:rsidDel="00000000" w:rsidR="00000000" w:rsidRPr="00000000">
              <w:rPr>
                <w:rtl w:val="0"/>
              </w:rPr>
            </w:r>
          </w:p>
        </w:tc>
        <w:tc>
          <w:tcPr/>
          <w:p w:rsidR="00000000" w:rsidDel="00000000" w:rsidP="00000000" w:rsidRDefault="00000000" w:rsidRPr="00000000" w14:paraId="00000034">
            <w:pPr>
              <w:spacing w:after="120" w:line="240" w:lineRule="auto"/>
              <w:jc w:val="center"/>
              <w:rPr/>
            </w:pPr>
            <w:r w:rsidDel="00000000" w:rsidR="00000000" w:rsidRPr="00000000">
              <w:rPr>
                <w:rFonts w:ascii="Times New Roman" w:cs="Times New Roman" w:eastAsia="Times New Roman" w:hAnsi="Times New Roman"/>
                <w:b w:val="1"/>
                <w:bCs w:val="1"/>
                <w:sz w:val="20"/>
                <w:szCs w:val="20"/>
                <w:rtl w:val="0"/>
              </w:rPr>
              <w:t xml:space="preserve">Subscription Rate (%)</w:t>
            </w:r>
            <w:r w:rsidDel="00000000" w:rsidR="00000000" w:rsidRPr="00000000">
              <w:rPr>
                <w:rtl w:val="0"/>
              </w:rPr>
            </w:r>
          </w:p>
        </w:tc>
        <w:tc>
          <w:tcPr/>
          <w:p w:rsidR="00000000" w:rsidDel="00000000" w:rsidP="00000000" w:rsidRDefault="00000000" w:rsidRPr="00000000" w14:paraId="00000035">
            <w:pPr>
              <w:spacing w:after="120" w:line="240" w:lineRule="auto"/>
              <w:jc w:val="center"/>
              <w:rPr/>
            </w:pPr>
            <w:r w:rsidDel="00000000" w:rsidR="00000000" w:rsidRPr="00000000">
              <w:rPr>
                <w:rFonts w:ascii="Times New Roman" w:cs="Times New Roman" w:eastAsia="Times New Roman" w:hAnsi="Times New Roman"/>
                <w:b w:val="1"/>
                <w:bCs w:val="1"/>
                <w:sz w:val="20"/>
                <w:szCs w:val="20"/>
                <w:rtl w:val="0"/>
              </w:rPr>
              <w:t xml:space="preserve">First-Day Closing Price (INR)</w:t>
            </w:r>
            <w:r w:rsidDel="00000000" w:rsidR="00000000" w:rsidRPr="00000000">
              <w:rPr>
                <w:rtl w:val="0"/>
              </w:rPr>
            </w:r>
          </w:p>
        </w:tc>
        <w:tc>
          <w:tcPr/>
          <w:p w:rsidR="00000000" w:rsidDel="00000000" w:rsidP="00000000" w:rsidRDefault="00000000" w:rsidRPr="00000000" w14:paraId="00000036">
            <w:pPr>
              <w:spacing w:after="120" w:line="240" w:lineRule="auto"/>
              <w:jc w:val="center"/>
              <w:rPr/>
            </w:pPr>
            <w:r w:rsidDel="00000000" w:rsidR="00000000" w:rsidRPr="00000000">
              <w:rPr>
                <w:rFonts w:ascii="Times New Roman" w:cs="Times New Roman" w:eastAsia="Times New Roman" w:hAnsi="Times New Roman"/>
                <w:b w:val="1"/>
                <w:bCs w:val="1"/>
                <w:sz w:val="20"/>
                <w:szCs w:val="20"/>
                <w:rtl w:val="0"/>
              </w:rPr>
              <w:t xml:space="preserve">Underwriter's Contribution to IPO Success (%)</w:t>
            </w:r>
            <w:r w:rsidDel="00000000" w:rsidR="00000000" w:rsidRPr="00000000">
              <w:rPr>
                <w:rtl w:val="0"/>
              </w:rPr>
            </w:r>
          </w:p>
        </w:tc>
      </w:tr>
      <w:tr>
        <w:trPr>
          <w:cantSplit w:val="0"/>
          <w:tblHeader w:val="0"/>
        </w:trPr>
        <w:tc>
          <w:tcPr/>
          <w:p w:rsidR="00000000" w:rsidDel="00000000" w:rsidP="00000000" w:rsidRDefault="00000000" w:rsidRPr="00000000" w14:paraId="00000037">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XYZ Corp</w:t>
            </w:r>
            <w:r w:rsidDel="00000000" w:rsidR="00000000" w:rsidRPr="00000000">
              <w:rPr>
                <w:rtl w:val="0"/>
              </w:rPr>
            </w:r>
          </w:p>
        </w:tc>
        <w:tc>
          <w:tcPr/>
          <w:p w:rsidR="00000000" w:rsidDel="00000000" w:rsidP="00000000" w:rsidRDefault="00000000" w:rsidRPr="00000000" w14:paraId="00000038">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High</w:t>
            </w:r>
            <w:r w:rsidDel="00000000" w:rsidR="00000000" w:rsidRPr="00000000">
              <w:rPr>
                <w:rtl w:val="0"/>
              </w:rPr>
            </w:r>
          </w:p>
        </w:tc>
        <w:tc>
          <w:tcPr/>
          <w:p w:rsidR="00000000" w:rsidDel="00000000" w:rsidP="00000000" w:rsidRDefault="00000000" w:rsidRPr="00000000" w14:paraId="00000039">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500-600</w:t>
            </w:r>
            <w:r w:rsidDel="00000000" w:rsidR="00000000" w:rsidRPr="00000000">
              <w:rPr>
                <w:rtl w:val="0"/>
              </w:rPr>
            </w:r>
          </w:p>
        </w:tc>
        <w:tc>
          <w:tcPr/>
          <w:p w:rsidR="00000000" w:rsidDel="00000000" w:rsidP="00000000" w:rsidRDefault="00000000" w:rsidRPr="00000000" w14:paraId="0000003A">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580</w:t>
            </w:r>
            <w:r w:rsidDel="00000000" w:rsidR="00000000" w:rsidRPr="00000000">
              <w:rPr>
                <w:rtl w:val="0"/>
              </w:rPr>
            </w:r>
          </w:p>
        </w:tc>
        <w:tc>
          <w:tcPr/>
          <w:p w:rsidR="00000000" w:rsidDel="00000000" w:rsidP="00000000" w:rsidRDefault="00000000" w:rsidRPr="00000000" w14:paraId="0000003B">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300%</w:t>
            </w:r>
            <w:r w:rsidDel="00000000" w:rsidR="00000000" w:rsidRPr="00000000">
              <w:rPr>
                <w:rtl w:val="0"/>
              </w:rPr>
            </w:r>
          </w:p>
        </w:tc>
        <w:tc>
          <w:tcPr/>
          <w:p w:rsidR="00000000" w:rsidDel="00000000" w:rsidP="00000000" w:rsidRDefault="00000000" w:rsidRPr="00000000" w14:paraId="0000003C">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650</w:t>
            </w:r>
            <w:r w:rsidDel="00000000" w:rsidR="00000000" w:rsidRPr="00000000">
              <w:rPr>
                <w:rtl w:val="0"/>
              </w:rPr>
            </w:r>
          </w:p>
        </w:tc>
        <w:tc>
          <w:tcPr/>
          <w:p w:rsidR="00000000" w:rsidDel="00000000" w:rsidP="00000000" w:rsidRDefault="00000000" w:rsidRPr="00000000" w14:paraId="0000003D">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85</w:t>
            </w:r>
            <w:r w:rsidDel="00000000" w:rsidR="00000000" w:rsidRPr="00000000">
              <w:rPr>
                <w:rtl w:val="0"/>
              </w:rPr>
            </w:r>
          </w:p>
        </w:tc>
      </w:tr>
      <w:tr>
        <w:trPr>
          <w:cantSplit w:val="0"/>
          <w:tblHeader w:val="0"/>
        </w:trPr>
        <w:tc>
          <w:tcPr/>
          <w:p w:rsidR="00000000" w:rsidDel="00000000" w:rsidP="00000000" w:rsidRDefault="00000000" w:rsidRPr="00000000" w14:paraId="0000003E">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ABC Ltd</w:t>
            </w:r>
            <w:r w:rsidDel="00000000" w:rsidR="00000000" w:rsidRPr="00000000">
              <w:rPr>
                <w:rtl w:val="0"/>
              </w:rPr>
            </w:r>
          </w:p>
        </w:tc>
        <w:tc>
          <w:tcPr/>
          <w:p w:rsidR="00000000" w:rsidDel="00000000" w:rsidP="00000000" w:rsidRDefault="00000000" w:rsidRPr="00000000" w14:paraId="0000003F">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Medium</w:t>
            </w:r>
            <w:r w:rsidDel="00000000" w:rsidR="00000000" w:rsidRPr="00000000">
              <w:rPr>
                <w:rtl w:val="0"/>
              </w:rPr>
            </w:r>
          </w:p>
        </w:tc>
        <w:tc>
          <w:tcPr/>
          <w:p w:rsidR="00000000" w:rsidDel="00000000" w:rsidP="00000000" w:rsidRDefault="00000000" w:rsidRPr="00000000" w14:paraId="00000040">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200-250</w:t>
            </w:r>
            <w:r w:rsidDel="00000000" w:rsidR="00000000" w:rsidRPr="00000000">
              <w:rPr>
                <w:rtl w:val="0"/>
              </w:rPr>
            </w:r>
          </w:p>
        </w:tc>
        <w:tc>
          <w:tcPr/>
          <w:p w:rsidR="00000000" w:rsidDel="00000000" w:rsidP="00000000" w:rsidRDefault="00000000" w:rsidRPr="00000000" w14:paraId="00000041">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230</w:t>
            </w:r>
            <w:r w:rsidDel="00000000" w:rsidR="00000000" w:rsidRPr="00000000">
              <w:rPr>
                <w:rtl w:val="0"/>
              </w:rPr>
            </w:r>
          </w:p>
        </w:tc>
        <w:tc>
          <w:tcPr/>
          <w:p w:rsidR="00000000" w:rsidDel="00000000" w:rsidP="00000000" w:rsidRDefault="00000000" w:rsidRPr="00000000" w14:paraId="00000042">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150%</w:t>
            </w:r>
            <w:r w:rsidDel="00000000" w:rsidR="00000000" w:rsidRPr="00000000">
              <w:rPr>
                <w:rtl w:val="0"/>
              </w:rPr>
            </w:r>
          </w:p>
        </w:tc>
        <w:tc>
          <w:tcPr/>
          <w:p w:rsidR="00000000" w:rsidDel="00000000" w:rsidP="00000000" w:rsidRDefault="00000000" w:rsidRPr="00000000" w14:paraId="00000043">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210</w:t>
            </w:r>
            <w:r w:rsidDel="00000000" w:rsidR="00000000" w:rsidRPr="00000000">
              <w:rPr>
                <w:rtl w:val="0"/>
              </w:rPr>
            </w:r>
          </w:p>
        </w:tc>
        <w:tc>
          <w:tcPr/>
          <w:p w:rsidR="00000000" w:rsidDel="00000000" w:rsidP="00000000" w:rsidRDefault="00000000" w:rsidRPr="00000000" w14:paraId="00000044">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65</w:t>
            </w:r>
            <w:r w:rsidDel="00000000" w:rsidR="00000000" w:rsidRPr="00000000">
              <w:rPr>
                <w:rtl w:val="0"/>
              </w:rPr>
            </w:r>
          </w:p>
        </w:tc>
      </w:tr>
      <w:tr>
        <w:trPr>
          <w:cantSplit w:val="0"/>
          <w:tblHeader w:val="0"/>
        </w:trPr>
        <w:tc>
          <w:tcPr/>
          <w:p w:rsidR="00000000" w:rsidDel="00000000" w:rsidP="00000000" w:rsidRDefault="00000000" w:rsidRPr="00000000" w14:paraId="00000045">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DEF Industries</w:t>
            </w:r>
            <w:r w:rsidDel="00000000" w:rsidR="00000000" w:rsidRPr="00000000">
              <w:rPr>
                <w:rtl w:val="0"/>
              </w:rPr>
            </w:r>
          </w:p>
        </w:tc>
        <w:tc>
          <w:tcPr/>
          <w:p w:rsidR="00000000" w:rsidDel="00000000" w:rsidP="00000000" w:rsidRDefault="00000000" w:rsidRPr="00000000" w14:paraId="00000046">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Low</w:t>
            </w:r>
            <w:r w:rsidDel="00000000" w:rsidR="00000000" w:rsidRPr="00000000">
              <w:rPr>
                <w:rtl w:val="0"/>
              </w:rPr>
            </w:r>
          </w:p>
        </w:tc>
        <w:tc>
          <w:tcPr/>
          <w:p w:rsidR="00000000" w:rsidDel="00000000" w:rsidP="00000000" w:rsidRDefault="00000000" w:rsidRPr="00000000" w14:paraId="00000047">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100-150</w:t>
            </w:r>
            <w:r w:rsidDel="00000000" w:rsidR="00000000" w:rsidRPr="00000000">
              <w:rPr>
                <w:rtl w:val="0"/>
              </w:rPr>
            </w:r>
          </w:p>
        </w:tc>
        <w:tc>
          <w:tcPr/>
          <w:p w:rsidR="00000000" w:rsidDel="00000000" w:rsidP="00000000" w:rsidRDefault="00000000" w:rsidRPr="00000000" w14:paraId="00000048">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120</w:t>
            </w:r>
            <w:r w:rsidDel="00000000" w:rsidR="00000000" w:rsidRPr="00000000">
              <w:rPr>
                <w:rtl w:val="0"/>
              </w:rPr>
            </w:r>
          </w:p>
        </w:tc>
        <w:tc>
          <w:tcPr/>
          <w:p w:rsidR="00000000" w:rsidDel="00000000" w:rsidP="00000000" w:rsidRDefault="00000000" w:rsidRPr="00000000" w14:paraId="00000049">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120%</w:t>
            </w:r>
            <w:r w:rsidDel="00000000" w:rsidR="00000000" w:rsidRPr="00000000">
              <w:rPr>
                <w:rtl w:val="0"/>
              </w:rPr>
            </w:r>
          </w:p>
        </w:tc>
        <w:tc>
          <w:tcPr/>
          <w:p w:rsidR="00000000" w:rsidDel="00000000" w:rsidP="00000000" w:rsidRDefault="00000000" w:rsidRPr="00000000" w14:paraId="0000004A">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130</w:t>
            </w:r>
            <w:r w:rsidDel="00000000" w:rsidR="00000000" w:rsidRPr="00000000">
              <w:rPr>
                <w:rtl w:val="0"/>
              </w:rPr>
            </w:r>
          </w:p>
        </w:tc>
        <w:tc>
          <w:tcPr/>
          <w:p w:rsidR="00000000" w:rsidDel="00000000" w:rsidP="00000000" w:rsidRDefault="00000000" w:rsidRPr="00000000" w14:paraId="0000004B">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40</w:t>
            </w:r>
            <w:r w:rsidDel="00000000" w:rsidR="00000000" w:rsidRPr="00000000">
              <w:rPr>
                <w:rtl w:val="0"/>
              </w:rPr>
            </w:r>
          </w:p>
        </w:tc>
      </w:tr>
      <w:tr>
        <w:trPr>
          <w:cantSplit w:val="0"/>
          <w:tblHeader w:val="0"/>
        </w:trPr>
        <w:tc>
          <w:tcPr/>
          <w:p w:rsidR="00000000" w:rsidDel="00000000" w:rsidP="00000000" w:rsidRDefault="00000000" w:rsidRPr="00000000" w14:paraId="0000004C">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GHI Pvt Ltd</w:t>
            </w:r>
            <w:r w:rsidDel="00000000" w:rsidR="00000000" w:rsidRPr="00000000">
              <w:rPr>
                <w:rtl w:val="0"/>
              </w:rPr>
            </w:r>
          </w:p>
        </w:tc>
        <w:tc>
          <w:tcPr/>
          <w:p w:rsidR="00000000" w:rsidDel="00000000" w:rsidP="00000000" w:rsidRDefault="00000000" w:rsidRPr="00000000" w14:paraId="0000004D">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High</w:t>
            </w:r>
            <w:r w:rsidDel="00000000" w:rsidR="00000000" w:rsidRPr="00000000">
              <w:rPr>
                <w:rtl w:val="0"/>
              </w:rPr>
            </w:r>
          </w:p>
        </w:tc>
        <w:tc>
          <w:tcPr/>
          <w:p w:rsidR="00000000" w:rsidDel="00000000" w:rsidP="00000000" w:rsidRDefault="00000000" w:rsidRPr="00000000" w14:paraId="0000004E">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300-350</w:t>
            </w:r>
            <w:r w:rsidDel="00000000" w:rsidR="00000000" w:rsidRPr="00000000">
              <w:rPr>
                <w:rtl w:val="0"/>
              </w:rPr>
            </w:r>
          </w:p>
        </w:tc>
        <w:tc>
          <w:tcPr/>
          <w:p w:rsidR="00000000" w:rsidDel="00000000" w:rsidP="00000000" w:rsidRDefault="00000000" w:rsidRPr="00000000" w14:paraId="0000004F">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330</w:t>
            </w:r>
            <w:r w:rsidDel="00000000" w:rsidR="00000000" w:rsidRPr="00000000">
              <w:rPr>
                <w:rtl w:val="0"/>
              </w:rPr>
            </w:r>
          </w:p>
        </w:tc>
        <w:tc>
          <w:tcPr/>
          <w:p w:rsidR="00000000" w:rsidDel="00000000" w:rsidP="00000000" w:rsidRDefault="00000000" w:rsidRPr="00000000" w14:paraId="00000050">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400%</w:t>
            </w:r>
            <w:r w:rsidDel="00000000" w:rsidR="00000000" w:rsidRPr="00000000">
              <w:rPr>
                <w:rtl w:val="0"/>
              </w:rPr>
            </w:r>
          </w:p>
        </w:tc>
        <w:tc>
          <w:tcPr/>
          <w:p w:rsidR="00000000" w:rsidDel="00000000" w:rsidP="00000000" w:rsidRDefault="00000000" w:rsidRPr="00000000" w14:paraId="00000051">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380</w:t>
            </w:r>
            <w:r w:rsidDel="00000000" w:rsidR="00000000" w:rsidRPr="00000000">
              <w:rPr>
                <w:rtl w:val="0"/>
              </w:rPr>
            </w:r>
          </w:p>
        </w:tc>
        <w:tc>
          <w:tcPr/>
          <w:p w:rsidR="00000000" w:rsidDel="00000000" w:rsidP="00000000" w:rsidRDefault="00000000" w:rsidRPr="00000000" w14:paraId="00000052">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90</w:t>
            </w:r>
            <w:r w:rsidDel="00000000" w:rsidR="00000000" w:rsidRPr="00000000">
              <w:rPr>
                <w:rtl w:val="0"/>
              </w:rPr>
            </w:r>
          </w:p>
        </w:tc>
      </w:tr>
      <w:tr>
        <w:trPr>
          <w:cantSplit w:val="0"/>
          <w:tblHeader w:val="0"/>
        </w:trPr>
        <w:tc>
          <w:tcPr/>
          <w:p w:rsidR="00000000" w:rsidDel="00000000" w:rsidP="00000000" w:rsidRDefault="00000000" w:rsidRPr="00000000" w14:paraId="00000053">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JKL Tech</w:t>
            </w:r>
            <w:r w:rsidDel="00000000" w:rsidR="00000000" w:rsidRPr="00000000">
              <w:rPr>
                <w:rtl w:val="0"/>
              </w:rPr>
            </w:r>
          </w:p>
        </w:tc>
        <w:tc>
          <w:tcPr/>
          <w:p w:rsidR="00000000" w:rsidDel="00000000" w:rsidP="00000000" w:rsidRDefault="00000000" w:rsidRPr="00000000" w14:paraId="00000054">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Medium</w:t>
            </w:r>
            <w:r w:rsidDel="00000000" w:rsidR="00000000" w:rsidRPr="00000000">
              <w:rPr>
                <w:rtl w:val="0"/>
              </w:rPr>
            </w:r>
          </w:p>
        </w:tc>
        <w:tc>
          <w:tcPr/>
          <w:p w:rsidR="00000000" w:rsidDel="00000000" w:rsidP="00000000" w:rsidRDefault="00000000" w:rsidRPr="00000000" w14:paraId="00000055">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700-750</w:t>
            </w:r>
            <w:r w:rsidDel="00000000" w:rsidR="00000000" w:rsidRPr="00000000">
              <w:rPr>
                <w:rtl w:val="0"/>
              </w:rPr>
            </w:r>
          </w:p>
        </w:tc>
        <w:tc>
          <w:tcPr/>
          <w:p w:rsidR="00000000" w:rsidDel="00000000" w:rsidP="00000000" w:rsidRDefault="00000000" w:rsidRPr="00000000" w14:paraId="00000056">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725</w:t>
            </w:r>
            <w:r w:rsidDel="00000000" w:rsidR="00000000" w:rsidRPr="00000000">
              <w:rPr>
                <w:rtl w:val="0"/>
              </w:rPr>
            </w:r>
          </w:p>
        </w:tc>
        <w:tc>
          <w:tcPr/>
          <w:p w:rsidR="00000000" w:rsidDel="00000000" w:rsidP="00000000" w:rsidRDefault="00000000" w:rsidRPr="00000000" w14:paraId="00000057">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250%</w:t>
            </w:r>
            <w:r w:rsidDel="00000000" w:rsidR="00000000" w:rsidRPr="00000000">
              <w:rPr>
                <w:rtl w:val="0"/>
              </w:rPr>
            </w:r>
          </w:p>
        </w:tc>
        <w:tc>
          <w:tcPr/>
          <w:p w:rsidR="00000000" w:rsidDel="00000000" w:rsidP="00000000" w:rsidRDefault="00000000" w:rsidRPr="00000000" w14:paraId="00000058">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710</w:t>
            </w:r>
            <w:r w:rsidDel="00000000" w:rsidR="00000000" w:rsidRPr="00000000">
              <w:rPr>
                <w:rtl w:val="0"/>
              </w:rPr>
            </w:r>
          </w:p>
        </w:tc>
        <w:tc>
          <w:tcPr/>
          <w:p w:rsidR="00000000" w:rsidDel="00000000" w:rsidP="00000000" w:rsidRDefault="00000000" w:rsidRPr="00000000" w14:paraId="00000059">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70</w:t>
            </w:r>
            <w:r w:rsidDel="00000000" w:rsidR="00000000" w:rsidRPr="00000000">
              <w:rPr>
                <w:rtl w:val="0"/>
              </w:rPr>
            </w:r>
          </w:p>
        </w:tc>
      </w:tr>
    </w:tbl>
    <w:p w:rsidR="00000000" w:rsidDel="00000000" w:rsidP="00000000" w:rsidRDefault="00000000" w:rsidRPr="00000000" w14:paraId="0000005A">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The table presents data on five IPOs, showcasing various factors like underwriter reputation, price range, final offer price, subscription rate, first-day closing price, and the underwriter's contribution to IPO success. It highlights that companies with highly reputed underwriters, such as XYZ Corp and GHI Pvt Ltd, tend to perform better in terms of subscription rates (300% and 400%, respectively) and first-day closing prices (INR 650 and INR 380). These companies also have higher contributions from their underwriters to the IPO success (85% and 90%). In contrast, companies with lower underwriter reputations, like DEF Industries, exhibit lower subscription rates (120%) and less favourable first-day closing prices (INR 130), with a lower contribution to IPO success (40%). Overall, the table suggests a correlation between underwriter reputation and IPO success, with higher reputations linked to stronger performance.</w:t>
      </w:r>
      <w:r w:rsidDel="00000000" w:rsidR="00000000" w:rsidRPr="00000000">
        <w:rPr>
          <w:rtl w:val="0"/>
        </w:rPr>
      </w:r>
    </w:p>
    <w:p w:rsidR="00000000" w:rsidDel="00000000" w:rsidP="00000000" w:rsidRDefault="00000000" w:rsidRPr="00000000" w14:paraId="0000005B">
      <w:pPr>
        <w:spacing w:after="120" w:lineRule="auto"/>
        <w:ind w:firstLine="530"/>
        <w:jc w:val="center"/>
        <w:rPr/>
      </w:pPr>
      <w:r w:rsidDel="00000000" w:rsidR="00000000" w:rsidRPr="00000000">
        <w:rPr>
          <w:rFonts w:ascii="Times New Roman" w:cs="Times New Roman" w:eastAsia="Times New Roman" w:hAnsi="Times New Roman"/>
          <w:b w:val="1"/>
          <w:bCs w:val="1"/>
          <w:sz w:val="20"/>
          <w:szCs w:val="20"/>
          <w:rtl w:val="0"/>
        </w:rPr>
        <w:t xml:space="preserve">Table 4.2: IPO Marketing and Distribution Strategies</w:t>
      </w:r>
      <w:r w:rsidDel="00000000" w:rsidR="00000000" w:rsidRPr="00000000">
        <w:rPr>
          <w:rtl w:val="0"/>
        </w:rPr>
      </w:r>
    </w:p>
    <w:tbl>
      <w:tblPr>
        <w:tblStyle w:val="Table3"/>
        <w:tblW w:w="9349.999999999998"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8"/>
        <w:gridCol w:w="1558"/>
        <w:gridCol w:w="1559"/>
        <w:gridCol w:w="1558"/>
        <w:gridCol w:w="1558"/>
        <w:gridCol w:w="1559"/>
        <w:tblGridChange w:id="0">
          <w:tblGrid>
            <w:gridCol w:w="1558"/>
            <w:gridCol w:w="1558"/>
            <w:gridCol w:w="1559"/>
            <w:gridCol w:w="1558"/>
            <w:gridCol w:w="1558"/>
            <w:gridCol w:w="1559"/>
          </w:tblGrid>
        </w:tblGridChange>
      </w:tblGrid>
      <w:tr>
        <w:trPr>
          <w:cantSplit w:val="0"/>
          <w:tblHeader w:val="0"/>
        </w:trPr>
        <w:tc>
          <w:tcPr/>
          <w:p w:rsidR="00000000" w:rsidDel="00000000" w:rsidP="00000000" w:rsidRDefault="00000000" w:rsidRPr="00000000" w14:paraId="0000005C">
            <w:pPr>
              <w:spacing w:after="120" w:line="240" w:lineRule="auto"/>
              <w:jc w:val="center"/>
              <w:rPr/>
            </w:pPr>
            <w:r w:rsidDel="00000000" w:rsidR="00000000" w:rsidRPr="00000000">
              <w:rPr>
                <w:rFonts w:ascii="Times New Roman" w:cs="Times New Roman" w:eastAsia="Times New Roman" w:hAnsi="Times New Roman"/>
                <w:b w:val="1"/>
                <w:bCs w:val="1"/>
                <w:sz w:val="20"/>
                <w:szCs w:val="20"/>
                <w:rtl w:val="0"/>
              </w:rPr>
              <w:t xml:space="preserve">IPO Name</w:t>
            </w:r>
            <w:r w:rsidDel="00000000" w:rsidR="00000000" w:rsidRPr="00000000">
              <w:rPr>
                <w:rtl w:val="0"/>
              </w:rPr>
            </w:r>
          </w:p>
        </w:tc>
        <w:tc>
          <w:tcPr/>
          <w:p w:rsidR="00000000" w:rsidDel="00000000" w:rsidP="00000000" w:rsidRDefault="00000000" w:rsidRPr="00000000" w14:paraId="0000005D">
            <w:pPr>
              <w:spacing w:after="120" w:line="240" w:lineRule="auto"/>
              <w:jc w:val="center"/>
              <w:rPr/>
            </w:pPr>
            <w:r w:rsidDel="00000000" w:rsidR="00000000" w:rsidRPr="00000000">
              <w:rPr>
                <w:rFonts w:ascii="Times New Roman" w:cs="Times New Roman" w:eastAsia="Times New Roman" w:hAnsi="Times New Roman"/>
                <w:b w:val="1"/>
                <w:bCs w:val="1"/>
                <w:sz w:val="20"/>
                <w:szCs w:val="20"/>
                <w:rtl w:val="0"/>
              </w:rPr>
              <w:t xml:space="preserve">Marketing Strategy</w:t>
            </w:r>
            <w:r w:rsidDel="00000000" w:rsidR="00000000" w:rsidRPr="00000000">
              <w:rPr>
                <w:rtl w:val="0"/>
              </w:rPr>
            </w:r>
          </w:p>
        </w:tc>
        <w:tc>
          <w:tcPr/>
          <w:p w:rsidR="00000000" w:rsidDel="00000000" w:rsidP="00000000" w:rsidRDefault="00000000" w:rsidRPr="00000000" w14:paraId="0000005E">
            <w:pPr>
              <w:spacing w:after="120" w:line="240" w:lineRule="auto"/>
              <w:jc w:val="center"/>
              <w:rPr/>
            </w:pPr>
            <w:r w:rsidDel="00000000" w:rsidR="00000000" w:rsidRPr="00000000">
              <w:rPr>
                <w:rFonts w:ascii="Times New Roman" w:cs="Times New Roman" w:eastAsia="Times New Roman" w:hAnsi="Times New Roman"/>
                <w:b w:val="1"/>
                <w:bCs w:val="1"/>
                <w:sz w:val="20"/>
                <w:szCs w:val="20"/>
                <w:rtl w:val="0"/>
              </w:rPr>
              <w:t xml:space="preserve">Distribution Channels</w:t>
            </w:r>
            <w:r w:rsidDel="00000000" w:rsidR="00000000" w:rsidRPr="00000000">
              <w:rPr>
                <w:rtl w:val="0"/>
              </w:rPr>
            </w:r>
          </w:p>
        </w:tc>
        <w:tc>
          <w:tcPr/>
          <w:p w:rsidR="00000000" w:rsidDel="00000000" w:rsidP="00000000" w:rsidRDefault="00000000" w:rsidRPr="00000000" w14:paraId="0000005F">
            <w:pPr>
              <w:spacing w:after="120" w:line="240" w:lineRule="auto"/>
              <w:jc w:val="center"/>
              <w:rPr/>
            </w:pPr>
            <w:r w:rsidDel="00000000" w:rsidR="00000000" w:rsidRPr="00000000">
              <w:rPr>
                <w:rFonts w:ascii="Times New Roman" w:cs="Times New Roman" w:eastAsia="Times New Roman" w:hAnsi="Times New Roman"/>
                <w:b w:val="1"/>
                <w:bCs w:val="1"/>
                <w:sz w:val="20"/>
                <w:szCs w:val="20"/>
                <w:rtl w:val="0"/>
              </w:rPr>
              <w:t xml:space="preserve">Total Shares Offered (Millions)</w:t>
            </w:r>
            <w:r w:rsidDel="00000000" w:rsidR="00000000" w:rsidRPr="00000000">
              <w:rPr>
                <w:rtl w:val="0"/>
              </w:rPr>
            </w:r>
          </w:p>
        </w:tc>
        <w:tc>
          <w:tcPr/>
          <w:p w:rsidR="00000000" w:rsidDel="00000000" w:rsidP="00000000" w:rsidRDefault="00000000" w:rsidRPr="00000000" w14:paraId="00000060">
            <w:pPr>
              <w:spacing w:after="120" w:line="240" w:lineRule="auto"/>
              <w:jc w:val="center"/>
              <w:rPr/>
            </w:pPr>
            <w:r w:rsidDel="00000000" w:rsidR="00000000" w:rsidRPr="00000000">
              <w:rPr>
                <w:rFonts w:ascii="Times New Roman" w:cs="Times New Roman" w:eastAsia="Times New Roman" w:hAnsi="Times New Roman"/>
                <w:b w:val="1"/>
                <w:bCs w:val="1"/>
                <w:sz w:val="20"/>
                <w:szCs w:val="20"/>
                <w:rtl w:val="0"/>
              </w:rPr>
              <w:t xml:space="preserve">Shares Distributed (Millions)</w:t>
            </w:r>
            <w:r w:rsidDel="00000000" w:rsidR="00000000" w:rsidRPr="00000000">
              <w:rPr>
                <w:rtl w:val="0"/>
              </w:rPr>
            </w:r>
          </w:p>
        </w:tc>
        <w:tc>
          <w:tcPr/>
          <w:p w:rsidR="00000000" w:rsidDel="00000000" w:rsidP="00000000" w:rsidRDefault="00000000" w:rsidRPr="00000000" w14:paraId="00000061">
            <w:pPr>
              <w:spacing w:after="120" w:line="240" w:lineRule="auto"/>
              <w:jc w:val="center"/>
              <w:rPr/>
            </w:pPr>
            <w:r w:rsidDel="00000000" w:rsidR="00000000" w:rsidRPr="00000000">
              <w:rPr>
                <w:rFonts w:ascii="Times New Roman" w:cs="Times New Roman" w:eastAsia="Times New Roman" w:hAnsi="Times New Roman"/>
                <w:b w:val="1"/>
                <w:bCs w:val="1"/>
                <w:sz w:val="20"/>
                <w:szCs w:val="20"/>
                <w:rtl w:val="0"/>
              </w:rPr>
              <w:t xml:space="preserve">Post-IPO Performance (Returns %)</w:t>
            </w:r>
            <w:r w:rsidDel="00000000" w:rsidR="00000000" w:rsidRPr="00000000">
              <w:rPr>
                <w:rtl w:val="0"/>
              </w:rPr>
            </w:r>
          </w:p>
        </w:tc>
      </w:tr>
      <w:tr>
        <w:trPr>
          <w:cantSplit w:val="0"/>
          <w:tblHeader w:val="0"/>
        </w:trPr>
        <w:tc>
          <w:tcPr/>
          <w:p w:rsidR="00000000" w:rsidDel="00000000" w:rsidP="00000000" w:rsidRDefault="00000000" w:rsidRPr="00000000" w14:paraId="00000062">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XYZ Corp</w:t>
            </w:r>
            <w:r w:rsidDel="00000000" w:rsidR="00000000" w:rsidRPr="00000000">
              <w:rPr>
                <w:rtl w:val="0"/>
              </w:rPr>
            </w:r>
          </w:p>
        </w:tc>
        <w:tc>
          <w:tcPr/>
          <w:p w:rsidR="00000000" w:rsidDel="00000000" w:rsidP="00000000" w:rsidRDefault="00000000" w:rsidRPr="00000000" w14:paraId="00000063">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Extensive Roadshows</w:t>
            </w:r>
            <w:r w:rsidDel="00000000" w:rsidR="00000000" w:rsidRPr="00000000">
              <w:rPr>
                <w:rtl w:val="0"/>
              </w:rPr>
            </w:r>
          </w:p>
        </w:tc>
        <w:tc>
          <w:tcPr/>
          <w:p w:rsidR="00000000" w:rsidDel="00000000" w:rsidP="00000000" w:rsidRDefault="00000000" w:rsidRPr="00000000" w14:paraId="00000064">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Institutional + Retail</w:t>
            </w:r>
            <w:r w:rsidDel="00000000" w:rsidR="00000000" w:rsidRPr="00000000">
              <w:rPr>
                <w:rtl w:val="0"/>
              </w:rPr>
            </w:r>
          </w:p>
        </w:tc>
        <w:tc>
          <w:tcPr/>
          <w:p w:rsidR="00000000" w:rsidDel="00000000" w:rsidP="00000000" w:rsidRDefault="00000000" w:rsidRPr="00000000" w14:paraId="00000065">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100</w:t>
            </w:r>
            <w:r w:rsidDel="00000000" w:rsidR="00000000" w:rsidRPr="00000000">
              <w:rPr>
                <w:rtl w:val="0"/>
              </w:rPr>
            </w:r>
          </w:p>
        </w:tc>
        <w:tc>
          <w:tcPr/>
          <w:p w:rsidR="00000000" w:rsidDel="00000000" w:rsidP="00000000" w:rsidRDefault="00000000" w:rsidRPr="00000000" w14:paraId="00000066">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90</w:t>
            </w:r>
            <w:r w:rsidDel="00000000" w:rsidR="00000000" w:rsidRPr="00000000">
              <w:rPr>
                <w:rtl w:val="0"/>
              </w:rPr>
            </w:r>
          </w:p>
        </w:tc>
        <w:tc>
          <w:tcPr/>
          <w:p w:rsidR="00000000" w:rsidDel="00000000" w:rsidP="00000000" w:rsidRDefault="00000000" w:rsidRPr="00000000" w14:paraId="00000067">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18</w:t>
            </w:r>
            <w:r w:rsidDel="00000000" w:rsidR="00000000" w:rsidRPr="00000000">
              <w:rPr>
                <w:rtl w:val="0"/>
              </w:rPr>
            </w:r>
          </w:p>
        </w:tc>
      </w:tr>
      <w:tr>
        <w:trPr>
          <w:cantSplit w:val="0"/>
          <w:tblHeader w:val="0"/>
        </w:trPr>
        <w:tc>
          <w:tcPr/>
          <w:p w:rsidR="00000000" w:rsidDel="00000000" w:rsidP="00000000" w:rsidRDefault="00000000" w:rsidRPr="00000000" w14:paraId="00000068">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ABC Ltd</w:t>
            </w:r>
            <w:r w:rsidDel="00000000" w:rsidR="00000000" w:rsidRPr="00000000">
              <w:rPr>
                <w:rtl w:val="0"/>
              </w:rPr>
            </w:r>
          </w:p>
        </w:tc>
        <w:tc>
          <w:tcPr/>
          <w:p w:rsidR="00000000" w:rsidDel="00000000" w:rsidP="00000000" w:rsidRDefault="00000000" w:rsidRPr="00000000" w14:paraId="00000069">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Moderate Ad Campaign</w:t>
            </w:r>
            <w:r w:rsidDel="00000000" w:rsidR="00000000" w:rsidRPr="00000000">
              <w:rPr>
                <w:rtl w:val="0"/>
              </w:rPr>
            </w:r>
          </w:p>
        </w:tc>
        <w:tc>
          <w:tcPr/>
          <w:p w:rsidR="00000000" w:rsidDel="00000000" w:rsidP="00000000" w:rsidRDefault="00000000" w:rsidRPr="00000000" w14:paraId="0000006A">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Retail</w:t>
            </w:r>
            <w:r w:rsidDel="00000000" w:rsidR="00000000" w:rsidRPr="00000000">
              <w:rPr>
                <w:rtl w:val="0"/>
              </w:rPr>
            </w:r>
          </w:p>
        </w:tc>
        <w:tc>
          <w:tcPr/>
          <w:p w:rsidR="00000000" w:rsidDel="00000000" w:rsidP="00000000" w:rsidRDefault="00000000" w:rsidRPr="00000000" w14:paraId="0000006B">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50</w:t>
            </w:r>
            <w:r w:rsidDel="00000000" w:rsidR="00000000" w:rsidRPr="00000000">
              <w:rPr>
                <w:rtl w:val="0"/>
              </w:rPr>
            </w:r>
          </w:p>
        </w:tc>
        <w:tc>
          <w:tcPr/>
          <w:p w:rsidR="00000000" w:rsidDel="00000000" w:rsidP="00000000" w:rsidRDefault="00000000" w:rsidRPr="00000000" w14:paraId="0000006C">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35</w:t>
            </w:r>
            <w:r w:rsidDel="00000000" w:rsidR="00000000" w:rsidRPr="00000000">
              <w:rPr>
                <w:rtl w:val="0"/>
              </w:rPr>
            </w:r>
          </w:p>
        </w:tc>
        <w:tc>
          <w:tcPr/>
          <w:p w:rsidR="00000000" w:rsidDel="00000000" w:rsidP="00000000" w:rsidRDefault="00000000" w:rsidRPr="00000000" w14:paraId="0000006D">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5</w:t>
            </w:r>
            <w:r w:rsidDel="00000000" w:rsidR="00000000" w:rsidRPr="00000000">
              <w:rPr>
                <w:rtl w:val="0"/>
              </w:rPr>
            </w:r>
          </w:p>
        </w:tc>
      </w:tr>
      <w:tr>
        <w:trPr>
          <w:cantSplit w:val="0"/>
          <w:tblHeader w:val="0"/>
        </w:trPr>
        <w:tc>
          <w:tcPr/>
          <w:p w:rsidR="00000000" w:rsidDel="00000000" w:rsidP="00000000" w:rsidRDefault="00000000" w:rsidRPr="00000000" w14:paraId="0000006E">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DEF Industries</w:t>
            </w:r>
            <w:r w:rsidDel="00000000" w:rsidR="00000000" w:rsidRPr="00000000">
              <w:rPr>
                <w:rtl w:val="0"/>
              </w:rPr>
            </w:r>
          </w:p>
        </w:tc>
        <w:tc>
          <w:tcPr/>
          <w:p w:rsidR="00000000" w:rsidDel="00000000" w:rsidP="00000000" w:rsidRDefault="00000000" w:rsidRPr="00000000" w14:paraId="0000006F">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Minimal Marketing</w:t>
            </w:r>
            <w:r w:rsidDel="00000000" w:rsidR="00000000" w:rsidRPr="00000000">
              <w:rPr>
                <w:rtl w:val="0"/>
              </w:rPr>
            </w:r>
          </w:p>
        </w:tc>
        <w:tc>
          <w:tcPr/>
          <w:p w:rsidR="00000000" w:rsidDel="00000000" w:rsidP="00000000" w:rsidRDefault="00000000" w:rsidRPr="00000000" w14:paraId="00000070">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Institutional</w:t>
            </w:r>
            <w:r w:rsidDel="00000000" w:rsidR="00000000" w:rsidRPr="00000000">
              <w:rPr>
                <w:rtl w:val="0"/>
              </w:rPr>
            </w:r>
          </w:p>
        </w:tc>
        <w:tc>
          <w:tcPr/>
          <w:p w:rsidR="00000000" w:rsidDel="00000000" w:rsidP="00000000" w:rsidRDefault="00000000" w:rsidRPr="00000000" w14:paraId="00000071">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20</w:t>
            </w:r>
            <w:r w:rsidDel="00000000" w:rsidR="00000000" w:rsidRPr="00000000">
              <w:rPr>
                <w:rtl w:val="0"/>
              </w:rPr>
            </w:r>
          </w:p>
        </w:tc>
        <w:tc>
          <w:tcPr/>
          <w:p w:rsidR="00000000" w:rsidDel="00000000" w:rsidP="00000000" w:rsidRDefault="00000000" w:rsidRPr="00000000" w14:paraId="00000072">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12</w:t>
            </w:r>
            <w:r w:rsidDel="00000000" w:rsidR="00000000" w:rsidRPr="00000000">
              <w:rPr>
                <w:rtl w:val="0"/>
              </w:rPr>
            </w:r>
          </w:p>
        </w:tc>
        <w:tc>
          <w:tcPr/>
          <w:p w:rsidR="00000000" w:rsidDel="00000000" w:rsidP="00000000" w:rsidRDefault="00000000" w:rsidRPr="00000000" w14:paraId="00000073">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8</w:t>
            </w:r>
            <w:r w:rsidDel="00000000" w:rsidR="00000000" w:rsidRPr="00000000">
              <w:rPr>
                <w:rtl w:val="0"/>
              </w:rPr>
            </w:r>
          </w:p>
        </w:tc>
      </w:tr>
      <w:tr>
        <w:trPr>
          <w:cantSplit w:val="0"/>
          <w:tblHeader w:val="0"/>
        </w:trPr>
        <w:tc>
          <w:tcPr/>
          <w:p w:rsidR="00000000" w:rsidDel="00000000" w:rsidP="00000000" w:rsidRDefault="00000000" w:rsidRPr="00000000" w14:paraId="00000074">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GHI Pvt Ltd</w:t>
            </w:r>
            <w:r w:rsidDel="00000000" w:rsidR="00000000" w:rsidRPr="00000000">
              <w:rPr>
                <w:rtl w:val="0"/>
              </w:rPr>
            </w:r>
          </w:p>
        </w:tc>
        <w:tc>
          <w:tcPr/>
          <w:p w:rsidR="00000000" w:rsidDel="00000000" w:rsidP="00000000" w:rsidRDefault="00000000" w:rsidRPr="00000000" w14:paraId="00000075">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Extensive Roadshows</w:t>
            </w:r>
            <w:r w:rsidDel="00000000" w:rsidR="00000000" w:rsidRPr="00000000">
              <w:rPr>
                <w:rtl w:val="0"/>
              </w:rPr>
            </w:r>
          </w:p>
        </w:tc>
        <w:tc>
          <w:tcPr/>
          <w:p w:rsidR="00000000" w:rsidDel="00000000" w:rsidP="00000000" w:rsidRDefault="00000000" w:rsidRPr="00000000" w14:paraId="00000076">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Institutional + Retail</w:t>
            </w:r>
            <w:r w:rsidDel="00000000" w:rsidR="00000000" w:rsidRPr="00000000">
              <w:rPr>
                <w:rtl w:val="0"/>
              </w:rPr>
            </w:r>
          </w:p>
        </w:tc>
        <w:tc>
          <w:tcPr/>
          <w:p w:rsidR="00000000" w:rsidDel="00000000" w:rsidP="00000000" w:rsidRDefault="00000000" w:rsidRPr="00000000" w14:paraId="00000077">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150</w:t>
            </w:r>
            <w:r w:rsidDel="00000000" w:rsidR="00000000" w:rsidRPr="00000000">
              <w:rPr>
                <w:rtl w:val="0"/>
              </w:rPr>
            </w:r>
          </w:p>
        </w:tc>
        <w:tc>
          <w:tcPr/>
          <w:p w:rsidR="00000000" w:rsidDel="00000000" w:rsidP="00000000" w:rsidRDefault="00000000" w:rsidRPr="00000000" w14:paraId="00000078">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140</w:t>
            </w:r>
            <w:r w:rsidDel="00000000" w:rsidR="00000000" w:rsidRPr="00000000">
              <w:rPr>
                <w:rtl w:val="0"/>
              </w:rPr>
            </w:r>
          </w:p>
        </w:tc>
        <w:tc>
          <w:tcPr/>
          <w:p w:rsidR="00000000" w:rsidDel="00000000" w:rsidP="00000000" w:rsidRDefault="00000000" w:rsidRPr="00000000" w14:paraId="00000079">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20</w:t>
            </w:r>
            <w:r w:rsidDel="00000000" w:rsidR="00000000" w:rsidRPr="00000000">
              <w:rPr>
                <w:rtl w:val="0"/>
              </w:rPr>
            </w:r>
          </w:p>
        </w:tc>
      </w:tr>
      <w:tr>
        <w:trPr>
          <w:cantSplit w:val="0"/>
          <w:tblHeader w:val="0"/>
        </w:trPr>
        <w:tc>
          <w:tcPr/>
          <w:p w:rsidR="00000000" w:rsidDel="00000000" w:rsidP="00000000" w:rsidRDefault="00000000" w:rsidRPr="00000000" w14:paraId="0000007A">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JKL Tech</w:t>
            </w:r>
            <w:r w:rsidDel="00000000" w:rsidR="00000000" w:rsidRPr="00000000">
              <w:rPr>
                <w:rtl w:val="0"/>
              </w:rPr>
            </w:r>
          </w:p>
        </w:tc>
        <w:tc>
          <w:tcPr/>
          <w:p w:rsidR="00000000" w:rsidDel="00000000" w:rsidP="00000000" w:rsidRDefault="00000000" w:rsidRPr="00000000" w14:paraId="0000007B">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Limited Social Media Push</w:t>
            </w:r>
            <w:r w:rsidDel="00000000" w:rsidR="00000000" w:rsidRPr="00000000">
              <w:rPr>
                <w:rtl w:val="0"/>
              </w:rPr>
            </w:r>
          </w:p>
        </w:tc>
        <w:tc>
          <w:tcPr/>
          <w:p w:rsidR="00000000" w:rsidDel="00000000" w:rsidP="00000000" w:rsidRDefault="00000000" w:rsidRPr="00000000" w14:paraId="0000007C">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Retail</w:t>
            </w:r>
            <w:r w:rsidDel="00000000" w:rsidR="00000000" w:rsidRPr="00000000">
              <w:rPr>
                <w:rtl w:val="0"/>
              </w:rPr>
            </w:r>
          </w:p>
        </w:tc>
        <w:tc>
          <w:tcPr/>
          <w:p w:rsidR="00000000" w:rsidDel="00000000" w:rsidP="00000000" w:rsidRDefault="00000000" w:rsidRPr="00000000" w14:paraId="0000007D">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75</w:t>
            </w:r>
            <w:r w:rsidDel="00000000" w:rsidR="00000000" w:rsidRPr="00000000">
              <w:rPr>
                <w:rtl w:val="0"/>
              </w:rPr>
            </w:r>
          </w:p>
        </w:tc>
        <w:tc>
          <w:tcPr/>
          <w:p w:rsidR="00000000" w:rsidDel="00000000" w:rsidP="00000000" w:rsidRDefault="00000000" w:rsidRPr="00000000" w14:paraId="0000007E">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60</w:t>
            </w:r>
            <w:r w:rsidDel="00000000" w:rsidR="00000000" w:rsidRPr="00000000">
              <w:rPr>
                <w:rtl w:val="0"/>
              </w:rPr>
            </w:r>
          </w:p>
        </w:tc>
        <w:tc>
          <w:tcPr/>
          <w:p w:rsidR="00000000" w:rsidDel="00000000" w:rsidP="00000000" w:rsidRDefault="00000000" w:rsidRPr="00000000" w14:paraId="0000007F">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3</w:t>
            </w:r>
            <w:r w:rsidDel="00000000" w:rsidR="00000000" w:rsidRPr="00000000">
              <w:rPr>
                <w:rtl w:val="0"/>
              </w:rPr>
            </w:r>
          </w:p>
        </w:tc>
      </w:tr>
    </w:tbl>
    <w:p w:rsidR="00000000" w:rsidDel="00000000" w:rsidP="00000000" w:rsidRDefault="00000000" w:rsidRPr="00000000" w14:paraId="00000080">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This table outlines the marketing strategies, distribution channels, and post-IPO performance for five companies. It shows that companies employing extensive marketing efforts, such as XYZ Corp and GHI Pvt Ltd, tend to have better post-IPO returns (18% and 20%, respectively). These companies also distribute a larger portion of their shares through both institutional and retail channels, with GHI Pvt Ltd offering 150 million shares and XYZ Corp offering 100 million shares. In contrast, companies with minimal marketing efforts, like DEF Industries, show weaker post-IPO performance (8% return) and a lower share distribution (12 million shares). Additionally, JKL Tech, with limited social media marketing, experiences the lowest returns (3%) despite offering 75 million shares. The data suggests that the extent of marketing efforts and the choice of distribution channels significantly impact post-IPO performance.</w:t>
      </w:r>
      <w:r w:rsidDel="00000000" w:rsidR="00000000" w:rsidRPr="00000000">
        <w:rPr>
          <w:rtl w:val="0"/>
        </w:rPr>
      </w:r>
    </w:p>
    <w:p w:rsidR="00000000" w:rsidDel="00000000" w:rsidP="00000000" w:rsidRDefault="00000000" w:rsidRPr="00000000" w14:paraId="00000081">
      <w:pPr>
        <w:spacing w:after="120" w:lineRule="auto"/>
        <w:ind w:firstLine="530"/>
        <w:jc w:val="center"/>
        <w:rPr/>
      </w:pPr>
      <w:r w:rsidDel="00000000" w:rsidR="00000000" w:rsidRPr="00000000">
        <w:rPr>
          <w:rFonts w:ascii="Times New Roman" w:cs="Times New Roman" w:eastAsia="Times New Roman" w:hAnsi="Times New Roman"/>
          <w:b w:val="1"/>
          <w:bCs w:val="1"/>
          <w:sz w:val="20"/>
          <w:szCs w:val="20"/>
          <w:rtl w:val="0"/>
        </w:rPr>
        <w:t xml:space="preserve">Table 4.3: IPO Subscription Rate and Underwriting Expertise</w:t>
      </w:r>
      <w:r w:rsidDel="00000000" w:rsidR="00000000" w:rsidRPr="00000000">
        <w:rPr>
          <w:rtl w:val="0"/>
        </w:rPr>
      </w:r>
    </w:p>
    <w:tbl>
      <w:tblPr>
        <w:tblStyle w:val="Table4"/>
        <w:tblW w:w="935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69"/>
        <w:gridCol w:w="1870"/>
        <w:gridCol w:w="1870"/>
        <w:gridCol w:w="1871"/>
        <w:gridCol w:w="1870"/>
        <w:tblGridChange w:id="0">
          <w:tblGrid>
            <w:gridCol w:w="1869"/>
            <w:gridCol w:w="1870"/>
            <w:gridCol w:w="1870"/>
            <w:gridCol w:w="1871"/>
            <w:gridCol w:w="1870"/>
          </w:tblGrid>
        </w:tblGridChange>
      </w:tblGrid>
      <w:tr>
        <w:trPr>
          <w:cantSplit w:val="0"/>
          <w:tblHeader w:val="0"/>
        </w:trPr>
        <w:tc>
          <w:tcPr/>
          <w:p w:rsidR="00000000" w:rsidDel="00000000" w:rsidP="00000000" w:rsidRDefault="00000000" w:rsidRPr="00000000" w14:paraId="00000082">
            <w:pPr>
              <w:spacing w:after="120" w:line="240" w:lineRule="auto"/>
              <w:jc w:val="center"/>
              <w:rPr/>
            </w:pPr>
            <w:r w:rsidDel="00000000" w:rsidR="00000000" w:rsidRPr="00000000">
              <w:rPr>
                <w:rFonts w:ascii="Times New Roman" w:cs="Times New Roman" w:eastAsia="Times New Roman" w:hAnsi="Times New Roman"/>
                <w:b w:val="1"/>
                <w:bCs w:val="1"/>
                <w:sz w:val="20"/>
                <w:szCs w:val="20"/>
                <w:rtl w:val="0"/>
              </w:rPr>
              <w:t xml:space="preserve">IPO Name</w:t>
            </w:r>
            <w:r w:rsidDel="00000000" w:rsidR="00000000" w:rsidRPr="00000000">
              <w:rPr>
                <w:rtl w:val="0"/>
              </w:rPr>
            </w:r>
          </w:p>
        </w:tc>
        <w:tc>
          <w:tcPr/>
          <w:p w:rsidR="00000000" w:rsidDel="00000000" w:rsidP="00000000" w:rsidRDefault="00000000" w:rsidRPr="00000000" w14:paraId="00000083">
            <w:pPr>
              <w:spacing w:after="120" w:line="240" w:lineRule="auto"/>
              <w:jc w:val="center"/>
              <w:rPr/>
            </w:pPr>
            <w:r w:rsidDel="00000000" w:rsidR="00000000" w:rsidRPr="00000000">
              <w:rPr>
                <w:rFonts w:ascii="Times New Roman" w:cs="Times New Roman" w:eastAsia="Times New Roman" w:hAnsi="Times New Roman"/>
                <w:b w:val="1"/>
                <w:bCs w:val="1"/>
                <w:sz w:val="20"/>
                <w:szCs w:val="20"/>
                <w:rtl w:val="0"/>
              </w:rPr>
              <w:t xml:space="preserve">Underwriter Expertise Level</w:t>
            </w:r>
            <w:r w:rsidDel="00000000" w:rsidR="00000000" w:rsidRPr="00000000">
              <w:rPr>
                <w:rtl w:val="0"/>
              </w:rPr>
            </w:r>
          </w:p>
        </w:tc>
        <w:tc>
          <w:tcPr/>
          <w:p w:rsidR="00000000" w:rsidDel="00000000" w:rsidP="00000000" w:rsidRDefault="00000000" w:rsidRPr="00000000" w14:paraId="00000084">
            <w:pPr>
              <w:spacing w:after="120" w:line="240" w:lineRule="auto"/>
              <w:jc w:val="center"/>
              <w:rPr/>
            </w:pPr>
            <w:r w:rsidDel="00000000" w:rsidR="00000000" w:rsidRPr="00000000">
              <w:rPr>
                <w:rFonts w:ascii="Times New Roman" w:cs="Times New Roman" w:eastAsia="Times New Roman" w:hAnsi="Times New Roman"/>
                <w:b w:val="1"/>
                <w:bCs w:val="1"/>
                <w:sz w:val="20"/>
                <w:szCs w:val="20"/>
                <w:rtl w:val="0"/>
              </w:rPr>
              <w:t xml:space="preserve">Subscription Rate (%)</w:t>
            </w:r>
            <w:r w:rsidDel="00000000" w:rsidR="00000000" w:rsidRPr="00000000">
              <w:rPr>
                <w:rtl w:val="0"/>
              </w:rPr>
            </w:r>
          </w:p>
        </w:tc>
        <w:tc>
          <w:tcPr/>
          <w:p w:rsidR="00000000" w:rsidDel="00000000" w:rsidP="00000000" w:rsidRDefault="00000000" w:rsidRPr="00000000" w14:paraId="00000085">
            <w:pPr>
              <w:spacing w:after="120" w:line="240" w:lineRule="auto"/>
              <w:jc w:val="center"/>
              <w:rPr/>
            </w:pPr>
            <w:r w:rsidDel="00000000" w:rsidR="00000000" w:rsidRPr="00000000">
              <w:rPr>
                <w:rFonts w:ascii="Times New Roman" w:cs="Times New Roman" w:eastAsia="Times New Roman" w:hAnsi="Times New Roman"/>
                <w:b w:val="1"/>
                <w:bCs w:val="1"/>
                <w:sz w:val="20"/>
                <w:szCs w:val="20"/>
                <w:rtl w:val="0"/>
              </w:rPr>
              <w:t xml:space="preserve">IPO Sector</w:t>
            </w:r>
            <w:r w:rsidDel="00000000" w:rsidR="00000000" w:rsidRPr="00000000">
              <w:rPr>
                <w:rtl w:val="0"/>
              </w:rPr>
            </w:r>
          </w:p>
        </w:tc>
        <w:tc>
          <w:tcPr/>
          <w:p w:rsidR="00000000" w:rsidDel="00000000" w:rsidP="00000000" w:rsidRDefault="00000000" w:rsidRPr="00000000" w14:paraId="00000086">
            <w:pPr>
              <w:spacing w:after="120" w:line="240" w:lineRule="auto"/>
              <w:jc w:val="center"/>
              <w:rPr/>
            </w:pPr>
            <w:r w:rsidDel="00000000" w:rsidR="00000000" w:rsidRPr="00000000">
              <w:rPr>
                <w:rFonts w:ascii="Times New Roman" w:cs="Times New Roman" w:eastAsia="Times New Roman" w:hAnsi="Times New Roman"/>
                <w:b w:val="1"/>
                <w:bCs w:val="1"/>
                <w:sz w:val="20"/>
                <w:szCs w:val="20"/>
                <w:rtl w:val="0"/>
              </w:rPr>
              <w:t xml:space="preserve">Market Condition (Bull/Bear)</w:t>
            </w:r>
            <w:r w:rsidDel="00000000" w:rsidR="00000000" w:rsidRPr="00000000">
              <w:rPr>
                <w:rtl w:val="0"/>
              </w:rPr>
            </w:r>
          </w:p>
        </w:tc>
      </w:tr>
      <w:tr>
        <w:trPr>
          <w:cantSplit w:val="0"/>
          <w:tblHeader w:val="0"/>
        </w:trPr>
        <w:tc>
          <w:tcPr/>
          <w:p w:rsidR="00000000" w:rsidDel="00000000" w:rsidP="00000000" w:rsidRDefault="00000000" w:rsidRPr="00000000" w14:paraId="00000087">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XYZ Corp</w:t>
            </w:r>
            <w:r w:rsidDel="00000000" w:rsidR="00000000" w:rsidRPr="00000000">
              <w:rPr>
                <w:rtl w:val="0"/>
              </w:rPr>
            </w:r>
          </w:p>
        </w:tc>
        <w:tc>
          <w:tcPr/>
          <w:p w:rsidR="00000000" w:rsidDel="00000000" w:rsidP="00000000" w:rsidRDefault="00000000" w:rsidRPr="00000000" w14:paraId="00000088">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Expert</w:t>
            </w:r>
            <w:r w:rsidDel="00000000" w:rsidR="00000000" w:rsidRPr="00000000">
              <w:rPr>
                <w:rtl w:val="0"/>
              </w:rPr>
            </w:r>
          </w:p>
        </w:tc>
        <w:tc>
          <w:tcPr/>
          <w:p w:rsidR="00000000" w:rsidDel="00000000" w:rsidP="00000000" w:rsidRDefault="00000000" w:rsidRPr="00000000" w14:paraId="00000089">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300%</w:t>
            </w:r>
            <w:r w:rsidDel="00000000" w:rsidR="00000000" w:rsidRPr="00000000">
              <w:rPr>
                <w:rtl w:val="0"/>
              </w:rPr>
            </w:r>
          </w:p>
        </w:tc>
        <w:tc>
          <w:tcPr/>
          <w:p w:rsidR="00000000" w:rsidDel="00000000" w:rsidP="00000000" w:rsidRDefault="00000000" w:rsidRPr="00000000" w14:paraId="0000008A">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Technology</w:t>
            </w:r>
            <w:r w:rsidDel="00000000" w:rsidR="00000000" w:rsidRPr="00000000">
              <w:rPr>
                <w:rtl w:val="0"/>
              </w:rPr>
            </w:r>
          </w:p>
        </w:tc>
        <w:tc>
          <w:tcPr/>
          <w:p w:rsidR="00000000" w:rsidDel="00000000" w:rsidP="00000000" w:rsidRDefault="00000000" w:rsidRPr="00000000" w14:paraId="0000008B">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Bull</w:t>
            </w:r>
            <w:r w:rsidDel="00000000" w:rsidR="00000000" w:rsidRPr="00000000">
              <w:rPr>
                <w:rtl w:val="0"/>
              </w:rPr>
            </w:r>
          </w:p>
        </w:tc>
      </w:tr>
      <w:tr>
        <w:trPr>
          <w:cantSplit w:val="0"/>
          <w:tblHeader w:val="0"/>
        </w:trPr>
        <w:tc>
          <w:tcPr/>
          <w:p w:rsidR="00000000" w:rsidDel="00000000" w:rsidP="00000000" w:rsidRDefault="00000000" w:rsidRPr="00000000" w14:paraId="0000008C">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ABC Ltd</w:t>
            </w:r>
            <w:r w:rsidDel="00000000" w:rsidR="00000000" w:rsidRPr="00000000">
              <w:rPr>
                <w:rtl w:val="0"/>
              </w:rPr>
            </w:r>
          </w:p>
        </w:tc>
        <w:tc>
          <w:tcPr/>
          <w:p w:rsidR="00000000" w:rsidDel="00000000" w:rsidP="00000000" w:rsidRDefault="00000000" w:rsidRPr="00000000" w14:paraId="0000008D">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Intermediate</w:t>
            </w:r>
            <w:r w:rsidDel="00000000" w:rsidR="00000000" w:rsidRPr="00000000">
              <w:rPr>
                <w:rtl w:val="0"/>
              </w:rPr>
            </w:r>
          </w:p>
        </w:tc>
        <w:tc>
          <w:tcPr/>
          <w:p w:rsidR="00000000" w:rsidDel="00000000" w:rsidP="00000000" w:rsidRDefault="00000000" w:rsidRPr="00000000" w14:paraId="0000008E">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150%</w:t>
            </w:r>
            <w:r w:rsidDel="00000000" w:rsidR="00000000" w:rsidRPr="00000000">
              <w:rPr>
                <w:rtl w:val="0"/>
              </w:rPr>
            </w:r>
          </w:p>
        </w:tc>
        <w:tc>
          <w:tcPr/>
          <w:p w:rsidR="00000000" w:rsidDel="00000000" w:rsidP="00000000" w:rsidRDefault="00000000" w:rsidRPr="00000000" w14:paraId="0000008F">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FMCG</w:t>
            </w:r>
            <w:r w:rsidDel="00000000" w:rsidR="00000000" w:rsidRPr="00000000">
              <w:rPr>
                <w:rtl w:val="0"/>
              </w:rPr>
            </w:r>
          </w:p>
        </w:tc>
        <w:tc>
          <w:tcPr/>
          <w:p w:rsidR="00000000" w:rsidDel="00000000" w:rsidP="00000000" w:rsidRDefault="00000000" w:rsidRPr="00000000" w14:paraId="00000090">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Bear</w:t>
            </w:r>
            <w:r w:rsidDel="00000000" w:rsidR="00000000" w:rsidRPr="00000000">
              <w:rPr>
                <w:rtl w:val="0"/>
              </w:rPr>
            </w:r>
          </w:p>
        </w:tc>
      </w:tr>
      <w:tr>
        <w:trPr>
          <w:cantSplit w:val="0"/>
          <w:tblHeader w:val="0"/>
        </w:trPr>
        <w:tc>
          <w:tcPr/>
          <w:p w:rsidR="00000000" w:rsidDel="00000000" w:rsidP="00000000" w:rsidRDefault="00000000" w:rsidRPr="00000000" w14:paraId="00000091">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DEF Industries</w:t>
            </w:r>
            <w:r w:rsidDel="00000000" w:rsidR="00000000" w:rsidRPr="00000000">
              <w:rPr>
                <w:rtl w:val="0"/>
              </w:rPr>
            </w:r>
          </w:p>
        </w:tc>
        <w:tc>
          <w:tcPr/>
          <w:p w:rsidR="00000000" w:rsidDel="00000000" w:rsidP="00000000" w:rsidRDefault="00000000" w:rsidRPr="00000000" w14:paraId="00000092">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Novice</w:t>
            </w:r>
            <w:r w:rsidDel="00000000" w:rsidR="00000000" w:rsidRPr="00000000">
              <w:rPr>
                <w:rtl w:val="0"/>
              </w:rPr>
            </w:r>
          </w:p>
        </w:tc>
        <w:tc>
          <w:tcPr/>
          <w:p w:rsidR="00000000" w:rsidDel="00000000" w:rsidP="00000000" w:rsidRDefault="00000000" w:rsidRPr="00000000" w14:paraId="00000093">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120%</w:t>
            </w:r>
            <w:r w:rsidDel="00000000" w:rsidR="00000000" w:rsidRPr="00000000">
              <w:rPr>
                <w:rtl w:val="0"/>
              </w:rPr>
            </w:r>
          </w:p>
        </w:tc>
        <w:tc>
          <w:tcPr/>
          <w:p w:rsidR="00000000" w:rsidDel="00000000" w:rsidP="00000000" w:rsidRDefault="00000000" w:rsidRPr="00000000" w14:paraId="00000094">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Manufacturing</w:t>
            </w:r>
            <w:r w:rsidDel="00000000" w:rsidR="00000000" w:rsidRPr="00000000">
              <w:rPr>
                <w:rtl w:val="0"/>
              </w:rPr>
            </w:r>
          </w:p>
        </w:tc>
        <w:tc>
          <w:tcPr/>
          <w:p w:rsidR="00000000" w:rsidDel="00000000" w:rsidP="00000000" w:rsidRDefault="00000000" w:rsidRPr="00000000" w14:paraId="00000095">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Bear</w:t>
            </w:r>
            <w:r w:rsidDel="00000000" w:rsidR="00000000" w:rsidRPr="00000000">
              <w:rPr>
                <w:rtl w:val="0"/>
              </w:rPr>
            </w:r>
          </w:p>
        </w:tc>
      </w:tr>
      <w:tr>
        <w:trPr>
          <w:cantSplit w:val="0"/>
          <w:tblHeader w:val="0"/>
        </w:trPr>
        <w:tc>
          <w:tcPr/>
          <w:p w:rsidR="00000000" w:rsidDel="00000000" w:rsidP="00000000" w:rsidRDefault="00000000" w:rsidRPr="00000000" w14:paraId="00000096">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GHI Pvt Ltd</w:t>
            </w:r>
            <w:r w:rsidDel="00000000" w:rsidR="00000000" w:rsidRPr="00000000">
              <w:rPr>
                <w:rtl w:val="0"/>
              </w:rPr>
            </w:r>
          </w:p>
        </w:tc>
        <w:tc>
          <w:tcPr/>
          <w:p w:rsidR="00000000" w:rsidDel="00000000" w:rsidP="00000000" w:rsidRDefault="00000000" w:rsidRPr="00000000" w14:paraId="00000097">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Expert</w:t>
            </w:r>
            <w:r w:rsidDel="00000000" w:rsidR="00000000" w:rsidRPr="00000000">
              <w:rPr>
                <w:rtl w:val="0"/>
              </w:rPr>
            </w:r>
          </w:p>
        </w:tc>
        <w:tc>
          <w:tcPr/>
          <w:p w:rsidR="00000000" w:rsidDel="00000000" w:rsidP="00000000" w:rsidRDefault="00000000" w:rsidRPr="00000000" w14:paraId="00000098">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400%</w:t>
            </w:r>
            <w:r w:rsidDel="00000000" w:rsidR="00000000" w:rsidRPr="00000000">
              <w:rPr>
                <w:rtl w:val="0"/>
              </w:rPr>
            </w:r>
          </w:p>
        </w:tc>
        <w:tc>
          <w:tcPr/>
          <w:p w:rsidR="00000000" w:rsidDel="00000000" w:rsidP="00000000" w:rsidRDefault="00000000" w:rsidRPr="00000000" w14:paraId="00000099">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Healthcare</w:t>
            </w:r>
            <w:r w:rsidDel="00000000" w:rsidR="00000000" w:rsidRPr="00000000">
              <w:rPr>
                <w:rtl w:val="0"/>
              </w:rPr>
            </w:r>
          </w:p>
        </w:tc>
        <w:tc>
          <w:tcPr/>
          <w:p w:rsidR="00000000" w:rsidDel="00000000" w:rsidP="00000000" w:rsidRDefault="00000000" w:rsidRPr="00000000" w14:paraId="0000009A">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Bull</w:t>
            </w:r>
            <w:r w:rsidDel="00000000" w:rsidR="00000000" w:rsidRPr="00000000">
              <w:rPr>
                <w:rtl w:val="0"/>
              </w:rPr>
            </w:r>
          </w:p>
        </w:tc>
      </w:tr>
      <w:tr>
        <w:trPr>
          <w:cantSplit w:val="0"/>
          <w:tblHeader w:val="0"/>
        </w:trPr>
        <w:tc>
          <w:tcPr/>
          <w:p w:rsidR="00000000" w:rsidDel="00000000" w:rsidP="00000000" w:rsidRDefault="00000000" w:rsidRPr="00000000" w14:paraId="0000009B">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JKL Tech</w:t>
            </w:r>
            <w:r w:rsidDel="00000000" w:rsidR="00000000" w:rsidRPr="00000000">
              <w:rPr>
                <w:rtl w:val="0"/>
              </w:rPr>
            </w:r>
          </w:p>
        </w:tc>
        <w:tc>
          <w:tcPr/>
          <w:p w:rsidR="00000000" w:rsidDel="00000000" w:rsidP="00000000" w:rsidRDefault="00000000" w:rsidRPr="00000000" w14:paraId="0000009C">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Intermediate</w:t>
            </w:r>
            <w:r w:rsidDel="00000000" w:rsidR="00000000" w:rsidRPr="00000000">
              <w:rPr>
                <w:rtl w:val="0"/>
              </w:rPr>
            </w:r>
          </w:p>
        </w:tc>
        <w:tc>
          <w:tcPr/>
          <w:p w:rsidR="00000000" w:rsidDel="00000000" w:rsidP="00000000" w:rsidRDefault="00000000" w:rsidRPr="00000000" w14:paraId="0000009D">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250%</w:t>
            </w:r>
            <w:r w:rsidDel="00000000" w:rsidR="00000000" w:rsidRPr="00000000">
              <w:rPr>
                <w:rtl w:val="0"/>
              </w:rPr>
            </w:r>
          </w:p>
        </w:tc>
        <w:tc>
          <w:tcPr/>
          <w:p w:rsidR="00000000" w:rsidDel="00000000" w:rsidP="00000000" w:rsidRDefault="00000000" w:rsidRPr="00000000" w14:paraId="0000009E">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Technology</w:t>
            </w:r>
            <w:r w:rsidDel="00000000" w:rsidR="00000000" w:rsidRPr="00000000">
              <w:rPr>
                <w:rtl w:val="0"/>
              </w:rPr>
            </w:r>
          </w:p>
        </w:tc>
        <w:tc>
          <w:tcPr/>
          <w:p w:rsidR="00000000" w:rsidDel="00000000" w:rsidP="00000000" w:rsidRDefault="00000000" w:rsidRPr="00000000" w14:paraId="0000009F">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Bull</w:t>
            </w:r>
            <w:r w:rsidDel="00000000" w:rsidR="00000000" w:rsidRPr="00000000">
              <w:rPr>
                <w:rtl w:val="0"/>
              </w:rPr>
            </w:r>
          </w:p>
        </w:tc>
      </w:tr>
    </w:tbl>
    <w:p w:rsidR="00000000" w:rsidDel="00000000" w:rsidP="00000000" w:rsidRDefault="00000000" w:rsidRPr="00000000" w14:paraId="000000A0">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This table presents data on the expertise level of underwriters, subscription rates, IPO sectors, and market conditions. It shows that IPOs underwritten by experts, like XYZ Corp and GHI Pvt Ltd, exhibit higher subscription rates (300% and 400%, respectively) and are associated with favourable market conditions (bull markets). Conversely, IPOs with novice underwriters, such as DEF Industries, have lower subscription rates (120%) and are launched during bear markets, which negatively impacts their performance. Intermediate-level underwriters, such as those for ABC Ltd and JKL Tech, show moderate subscription rates (150% and 250%) and are associated with both bear and bull markets, indicating that underwriter expertise, along with market conditions, plays a significant role in IPO success.</w:t>
      </w:r>
      <w:r w:rsidDel="00000000" w:rsidR="00000000" w:rsidRPr="00000000">
        <w:rPr>
          <w:rtl w:val="0"/>
        </w:rPr>
      </w:r>
    </w:p>
    <w:p w:rsidR="00000000" w:rsidDel="00000000" w:rsidP="00000000" w:rsidRDefault="00000000" w:rsidRPr="00000000" w14:paraId="000000A1">
      <w:pPr>
        <w:spacing w:after="120" w:lineRule="auto"/>
        <w:ind w:firstLine="530"/>
        <w:jc w:val="center"/>
        <w:rPr/>
      </w:pPr>
      <w:r w:rsidDel="00000000" w:rsidR="00000000" w:rsidRPr="00000000">
        <w:rPr>
          <w:rFonts w:ascii="Times New Roman" w:cs="Times New Roman" w:eastAsia="Times New Roman" w:hAnsi="Times New Roman"/>
          <w:b w:val="1"/>
          <w:bCs w:val="1"/>
          <w:sz w:val="20"/>
          <w:szCs w:val="20"/>
          <w:rtl w:val="0"/>
        </w:rPr>
        <w:t xml:space="preserve">Table 4.4: Market Conditions and IPO Performance</w:t>
      </w:r>
      <w:r w:rsidDel="00000000" w:rsidR="00000000" w:rsidRPr="00000000">
        <w:rPr>
          <w:rtl w:val="0"/>
        </w:rPr>
      </w:r>
    </w:p>
    <w:tbl>
      <w:tblPr>
        <w:tblStyle w:val="Table5"/>
        <w:tblW w:w="9349.999999999998"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69"/>
        <w:gridCol w:w="1870"/>
        <w:gridCol w:w="1872"/>
        <w:gridCol w:w="1870"/>
        <w:gridCol w:w="1869"/>
        <w:tblGridChange w:id="0">
          <w:tblGrid>
            <w:gridCol w:w="1869"/>
            <w:gridCol w:w="1870"/>
            <w:gridCol w:w="1872"/>
            <w:gridCol w:w="1870"/>
            <w:gridCol w:w="1869"/>
          </w:tblGrid>
        </w:tblGridChange>
      </w:tblGrid>
      <w:tr>
        <w:trPr>
          <w:cantSplit w:val="0"/>
          <w:tblHeader w:val="0"/>
        </w:trPr>
        <w:tc>
          <w:tcPr/>
          <w:p w:rsidR="00000000" w:rsidDel="00000000" w:rsidP="00000000" w:rsidRDefault="00000000" w:rsidRPr="00000000" w14:paraId="000000A2">
            <w:pPr>
              <w:spacing w:after="120" w:line="240" w:lineRule="auto"/>
              <w:jc w:val="center"/>
              <w:rPr/>
            </w:pPr>
            <w:r w:rsidDel="00000000" w:rsidR="00000000" w:rsidRPr="00000000">
              <w:rPr>
                <w:rFonts w:ascii="Times New Roman" w:cs="Times New Roman" w:eastAsia="Times New Roman" w:hAnsi="Times New Roman"/>
                <w:b w:val="1"/>
                <w:bCs w:val="1"/>
                <w:sz w:val="20"/>
                <w:szCs w:val="20"/>
                <w:rtl w:val="0"/>
              </w:rPr>
              <w:t xml:space="preserve">IPO Name</w:t>
            </w:r>
            <w:r w:rsidDel="00000000" w:rsidR="00000000" w:rsidRPr="00000000">
              <w:rPr>
                <w:rtl w:val="0"/>
              </w:rPr>
            </w:r>
          </w:p>
        </w:tc>
        <w:tc>
          <w:tcPr/>
          <w:p w:rsidR="00000000" w:rsidDel="00000000" w:rsidP="00000000" w:rsidRDefault="00000000" w:rsidRPr="00000000" w14:paraId="000000A3">
            <w:pPr>
              <w:spacing w:after="120" w:line="240" w:lineRule="auto"/>
              <w:jc w:val="center"/>
              <w:rPr/>
            </w:pPr>
            <w:r w:rsidDel="00000000" w:rsidR="00000000" w:rsidRPr="00000000">
              <w:rPr>
                <w:rFonts w:ascii="Times New Roman" w:cs="Times New Roman" w:eastAsia="Times New Roman" w:hAnsi="Times New Roman"/>
                <w:b w:val="1"/>
                <w:bCs w:val="1"/>
                <w:sz w:val="20"/>
                <w:szCs w:val="20"/>
                <w:rtl w:val="0"/>
              </w:rPr>
              <w:t xml:space="preserve">Market Condition (Bull/Bear)</w:t>
            </w:r>
            <w:r w:rsidDel="00000000" w:rsidR="00000000" w:rsidRPr="00000000">
              <w:rPr>
                <w:rtl w:val="0"/>
              </w:rPr>
            </w:r>
          </w:p>
        </w:tc>
        <w:tc>
          <w:tcPr/>
          <w:p w:rsidR="00000000" w:rsidDel="00000000" w:rsidP="00000000" w:rsidRDefault="00000000" w:rsidRPr="00000000" w14:paraId="000000A4">
            <w:pPr>
              <w:spacing w:after="120" w:line="240" w:lineRule="auto"/>
              <w:jc w:val="center"/>
              <w:rPr/>
            </w:pPr>
            <w:r w:rsidDel="00000000" w:rsidR="00000000" w:rsidRPr="00000000">
              <w:rPr>
                <w:rFonts w:ascii="Times New Roman" w:cs="Times New Roman" w:eastAsia="Times New Roman" w:hAnsi="Times New Roman"/>
                <w:b w:val="1"/>
                <w:bCs w:val="1"/>
                <w:sz w:val="20"/>
                <w:szCs w:val="20"/>
                <w:rtl w:val="0"/>
              </w:rPr>
              <w:t xml:space="preserve">Investor Sentiment (Positive/Negative)</w:t>
            </w:r>
            <w:r w:rsidDel="00000000" w:rsidR="00000000" w:rsidRPr="00000000">
              <w:rPr>
                <w:rtl w:val="0"/>
              </w:rPr>
            </w:r>
          </w:p>
        </w:tc>
        <w:tc>
          <w:tcPr/>
          <w:p w:rsidR="00000000" w:rsidDel="00000000" w:rsidP="00000000" w:rsidRDefault="00000000" w:rsidRPr="00000000" w14:paraId="000000A5">
            <w:pPr>
              <w:spacing w:after="120" w:line="240" w:lineRule="auto"/>
              <w:jc w:val="center"/>
              <w:rPr/>
            </w:pPr>
            <w:r w:rsidDel="00000000" w:rsidR="00000000" w:rsidRPr="00000000">
              <w:rPr>
                <w:rFonts w:ascii="Times New Roman" w:cs="Times New Roman" w:eastAsia="Times New Roman" w:hAnsi="Times New Roman"/>
                <w:b w:val="1"/>
                <w:bCs w:val="1"/>
                <w:sz w:val="20"/>
                <w:szCs w:val="20"/>
                <w:rtl w:val="0"/>
              </w:rPr>
              <w:t xml:space="preserve">IPO Performance (Returns %)</w:t>
            </w:r>
            <w:r w:rsidDel="00000000" w:rsidR="00000000" w:rsidRPr="00000000">
              <w:rPr>
                <w:rtl w:val="0"/>
              </w:rPr>
            </w:r>
          </w:p>
        </w:tc>
        <w:tc>
          <w:tcPr/>
          <w:p w:rsidR="00000000" w:rsidDel="00000000" w:rsidP="00000000" w:rsidRDefault="00000000" w:rsidRPr="00000000" w14:paraId="000000A6">
            <w:pPr>
              <w:spacing w:after="120" w:line="240" w:lineRule="auto"/>
              <w:jc w:val="center"/>
              <w:rPr/>
            </w:pPr>
            <w:r w:rsidDel="00000000" w:rsidR="00000000" w:rsidRPr="00000000">
              <w:rPr>
                <w:rFonts w:ascii="Times New Roman" w:cs="Times New Roman" w:eastAsia="Times New Roman" w:hAnsi="Times New Roman"/>
                <w:b w:val="1"/>
                <w:bCs w:val="1"/>
                <w:sz w:val="20"/>
                <w:szCs w:val="20"/>
                <w:rtl w:val="0"/>
              </w:rPr>
              <w:t xml:space="preserve">Market Volatility Index (VIX)</w:t>
            </w:r>
            <w:r w:rsidDel="00000000" w:rsidR="00000000" w:rsidRPr="00000000">
              <w:rPr>
                <w:rtl w:val="0"/>
              </w:rPr>
            </w:r>
          </w:p>
        </w:tc>
      </w:tr>
      <w:tr>
        <w:trPr>
          <w:cantSplit w:val="0"/>
          <w:tblHeader w:val="0"/>
        </w:trPr>
        <w:tc>
          <w:tcPr/>
          <w:p w:rsidR="00000000" w:rsidDel="00000000" w:rsidP="00000000" w:rsidRDefault="00000000" w:rsidRPr="00000000" w14:paraId="000000A7">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XYZ Corp</w:t>
            </w:r>
            <w:r w:rsidDel="00000000" w:rsidR="00000000" w:rsidRPr="00000000">
              <w:rPr>
                <w:rtl w:val="0"/>
              </w:rPr>
            </w:r>
          </w:p>
        </w:tc>
        <w:tc>
          <w:tcPr/>
          <w:p w:rsidR="00000000" w:rsidDel="00000000" w:rsidP="00000000" w:rsidRDefault="00000000" w:rsidRPr="00000000" w14:paraId="000000A8">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Bull</w:t>
            </w:r>
            <w:r w:rsidDel="00000000" w:rsidR="00000000" w:rsidRPr="00000000">
              <w:rPr>
                <w:rtl w:val="0"/>
              </w:rPr>
            </w:r>
          </w:p>
        </w:tc>
        <w:tc>
          <w:tcPr/>
          <w:p w:rsidR="00000000" w:rsidDel="00000000" w:rsidP="00000000" w:rsidRDefault="00000000" w:rsidRPr="00000000" w14:paraId="000000A9">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Positive</w:t>
            </w:r>
            <w:r w:rsidDel="00000000" w:rsidR="00000000" w:rsidRPr="00000000">
              <w:rPr>
                <w:rtl w:val="0"/>
              </w:rPr>
            </w:r>
          </w:p>
        </w:tc>
        <w:tc>
          <w:tcPr/>
          <w:p w:rsidR="00000000" w:rsidDel="00000000" w:rsidP="00000000" w:rsidRDefault="00000000" w:rsidRPr="00000000" w14:paraId="000000AA">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18</w:t>
            </w:r>
            <w:r w:rsidDel="00000000" w:rsidR="00000000" w:rsidRPr="00000000">
              <w:rPr>
                <w:rtl w:val="0"/>
              </w:rPr>
            </w:r>
          </w:p>
        </w:tc>
        <w:tc>
          <w:tcPr/>
          <w:p w:rsidR="00000000" w:rsidDel="00000000" w:rsidP="00000000" w:rsidRDefault="00000000" w:rsidRPr="00000000" w14:paraId="000000AB">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15</w:t>
            </w:r>
            <w:r w:rsidDel="00000000" w:rsidR="00000000" w:rsidRPr="00000000">
              <w:rPr>
                <w:rtl w:val="0"/>
              </w:rPr>
            </w:r>
          </w:p>
        </w:tc>
      </w:tr>
      <w:tr>
        <w:trPr>
          <w:cantSplit w:val="0"/>
          <w:tblHeader w:val="0"/>
        </w:trPr>
        <w:tc>
          <w:tcPr/>
          <w:p w:rsidR="00000000" w:rsidDel="00000000" w:rsidP="00000000" w:rsidRDefault="00000000" w:rsidRPr="00000000" w14:paraId="000000AC">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ABC Ltd</w:t>
            </w:r>
            <w:r w:rsidDel="00000000" w:rsidR="00000000" w:rsidRPr="00000000">
              <w:rPr>
                <w:rtl w:val="0"/>
              </w:rPr>
            </w:r>
          </w:p>
        </w:tc>
        <w:tc>
          <w:tcPr/>
          <w:p w:rsidR="00000000" w:rsidDel="00000000" w:rsidP="00000000" w:rsidRDefault="00000000" w:rsidRPr="00000000" w14:paraId="000000AD">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Bear</w:t>
            </w:r>
            <w:r w:rsidDel="00000000" w:rsidR="00000000" w:rsidRPr="00000000">
              <w:rPr>
                <w:rtl w:val="0"/>
              </w:rPr>
            </w:r>
          </w:p>
        </w:tc>
        <w:tc>
          <w:tcPr/>
          <w:p w:rsidR="00000000" w:rsidDel="00000000" w:rsidP="00000000" w:rsidRDefault="00000000" w:rsidRPr="00000000" w14:paraId="000000AE">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Negative</w:t>
            </w:r>
            <w:r w:rsidDel="00000000" w:rsidR="00000000" w:rsidRPr="00000000">
              <w:rPr>
                <w:rtl w:val="0"/>
              </w:rPr>
            </w:r>
          </w:p>
        </w:tc>
        <w:tc>
          <w:tcPr/>
          <w:p w:rsidR="00000000" w:rsidDel="00000000" w:rsidP="00000000" w:rsidRDefault="00000000" w:rsidRPr="00000000" w14:paraId="000000AF">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5</w:t>
            </w:r>
            <w:r w:rsidDel="00000000" w:rsidR="00000000" w:rsidRPr="00000000">
              <w:rPr>
                <w:rtl w:val="0"/>
              </w:rPr>
            </w:r>
          </w:p>
        </w:tc>
        <w:tc>
          <w:tcPr/>
          <w:p w:rsidR="00000000" w:rsidDel="00000000" w:rsidP="00000000" w:rsidRDefault="00000000" w:rsidRPr="00000000" w14:paraId="000000B0">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40</w:t>
            </w:r>
            <w:r w:rsidDel="00000000" w:rsidR="00000000" w:rsidRPr="00000000">
              <w:rPr>
                <w:rtl w:val="0"/>
              </w:rPr>
            </w:r>
          </w:p>
        </w:tc>
      </w:tr>
      <w:tr>
        <w:trPr>
          <w:cantSplit w:val="0"/>
          <w:tblHeader w:val="0"/>
        </w:trPr>
        <w:tc>
          <w:tcPr/>
          <w:p w:rsidR="00000000" w:rsidDel="00000000" w:rsidP="00000000" w:rsidRDefault="00000000" w:rsidRPr="00000000" w14:paraId="000000B1">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DEF Industries</w:t>
            </w:r>
            <w:r w:rsidDel="00000000" w:rsidR="00000000" w:rsidRPr="00000000">
              <w:rPr>
                <w:rtl w:val="0"/>
              </w:rPr>
            </w:r>
          </w:p>
        </w:tc>
        <w:tc>
          <w:tcPr/>
          <w:p w:rsidR="00000000" w:rsidDel="00000000" w:rsidP="00000000" w:rsidRDefault="00000000" w:rsidRPr="00000000" w14:paraId="000000B2">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Bear</w:t>
            </w:r>
            <w:r w:rsidDel="00000000" w:rsidR="00000000" w:rsidRPr="00000000">
              <w:rPr>
                <w:rtl w:val="0"/>
              </w:rPr>
            </w:r>
          </w:p>
        </w:tc>
        <w:tc>
          <w:tcPr/>
          <w:p w:rsidR="00000000" w:rsidDel="00000000" w:rsidP="00000000" w:rsidRDefault="00000000" w:rsidRPr="00000000" w14:paraId="000000B3">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Negative</w:t>
            </w:r>
            <w:r w:rsidDel="00000000" w:rsidR="00000000" w:rsidRPr="00000000">
              <w:rPr>
                <w:rtl w:val="0"/>
              </w:rPr>
            </w:r>
          </w:p>
        </w:tc>
        <w:tc>
          <w:tcPr/>
          <w:p w:rsidR="00000000" w:rsidDel="00000000" w:rsidP="00000000" w:rsidRDefault="00000000" w:rsidRPr="00000000" w14:paraId="000000B4">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8</w:t>
            </w:r>
            <w:r w:rsidDel="00000000" w:rsidR="00000000" w:rsidRPr="00000000">
              <w:rPr>
                <w:rtl w:val="0"/>
              </w:rPr>
            </w:r>
          </w:p>
        </w:tc>
        <w:tc>
          <w:tcPr/>
          <w:p w:rsidR="00000000" w:rsidDel="00000000" w:rsidP="00000000" w:rsidRDefault="00000000" w:rsidRPr="00000000" w14:paraId="000000B5">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45</w:t>
            </w:r>
            <w:r w:rsidDel="00000000" w:rsidR="00000000" w:rsidRPr="00000000">
              <w:rPr>
                <w:rtl w:val="0"/>
              </w:rPr>
            </w:r>
          </w:p>
        </w:tc>
      </w:tr>
      <w:tr>
        <w:trPr>
          <w:cantSplit w:val="0"/>
          <w:tblHeader w:val="0"/>
        </w:trPr>
        <w:tc>
          <w:tcPr/>
          <w:p w:rsidR="00000000" w:rsidDel="00000000" w:rsidP="00000000" w:rsidRDefault="00000000" w:rsidRPr="00000000" w14:paraId="000000B6">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GHI Pvt Ltd</w:t>
            </w:r>
            <w:r w:rsidDel="00000000" w:rsidR="00000000" w:rsidRPr="00000000">
              <w:rPr>
                <w:rtl w:val="0"/>
              </w:rPr>
            </w:r>
          </w:p>
        </w:tc>
        <w:tc>
          <w:tcPr/>
          <w:p w:rsidR="00000000" w:rsidDel="00000000" w:rsidP="00000000" w:rsidRDefault="00000000" w:rsidRPr="00000000" w14:paraId="000000B7">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Bull</w:t>
            </w:r>
            <w:r w:rsidDel="00000000" w:rsidR="00000000" w:rsidRPr="00000000">
              <w:rPr>
                <w:rtl w:val="0"/>
              </w:rPr>
            </w:r>
          </w:p>
        </w:tc>
        <w:tc>
          <w:tcPr/>
          <w:p w:rsidR="00000000" w:rsidDel="00000000" w:rsidP="00000000" w:rsidRDefault="00000000" w:rsidRPr="00000000" w14:paraId="000000B8">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Positive</w:t>
            </w:r>
            <w:r w:rsidDel="00000000" w:rsidR="00000000" w:rsidRPr="00000000">
              <w:rPr>
                <w:rtl w:val="0"/>
              </w:rPr>
            </w:r>
          </w:p>
        </w:tc>
        <w:tc>
          <w:tcPr/>
          <w:p w:rsidR="00000000" w:rsidDel="00000000" w:rsidP="00000000" w:rsidRDefault="00000000" w:rsidRPr="00000000" w14:paraId="000000B9">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20</w:t>
            </w:r>
            <w:r w:rsidDel="00000000" w:rsidR="00000000" w:rsidRPr="00000000">
              <w:rPr>
                <w:rtl w:val="0"/>
              </w:rPr>
            </w:r>
          </w:p>
        </w:tc>
        <w:tc>
          <w:tcPr/>
          <w:p w:rsidR="00000000" w:rsidDel="00000000" w:rsidP="00000000" w:rsidRDefault="00000000" w:rsidRPr="00000000" w14:paraId="000000BA">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18</w:t>
            </w:r>
            <w:r w:rsidDel="00000000" w:rsidR="00000000" w:rsidRPr="00000000">
              <w:rPr>
                <w:rtl w:val="0"/>
              </w:rPr>
            </w:r>
          </w:p>
        </w:tc>
      </w:tr>
      <w:tr>
        <w:trPr>
          <w:cantSplit w:val="0"/>
          <w:tblHeader w:val="0"/>
        </w:trPr>
        <w:tc>
          <w:tcPr/>
          <w:p w:rsidR="00000000" w:rsidDel="00000000" w:rsidP="00000000" w:rsidRDefault="00000000" w:rsidRPr="00000000" w14:paraId="000000BB">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JKL Tech</w:t>
            </w:r>
            <w:r w:rsidDel="00000000" w:rsidR="00000000" w:rsidRPr="00000000">
              <w:rPr>
                <w:rtl w:val="0"/>
              </w:rPr>
            </w:r>
          </w:p>
        </w:tc>
        <w:tc>
          <w:tcPr/>
          <w:p w:rsidR="00000000" w:rsidDel="00000000" w:rsidP="00000000" w:rsidRDefault="00000000" w:rsidRPr="00000000" w14:paraId="000000BC">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Bull</w:t>
            </w:r>
            <w:r w:rsidDel="00000000" w:rsidR="00000000" w:rsidRPr="00000000">
              <w:rPr>
                <w:rtl w:val="0"/>
              </w:rPr>
            </w:r>
          </w:p>
        </w:tc>
        <w:tc>
          <w:tcPr/>
          <w:p w:rsidR="00000000" w:rsidDel="00000000" w:rsidP="00000000" w:rsidRDefault="00000000" w:rsidRPr="00000000" w14:paraId="000000BD">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Neutral</w:t>
            </w:r>
            <w:r w:rsidDel="00000000" w:rsidR="00000000" w:rsidRPr="00000000">
              <w:rPr>
                <w:rtl w:val="0"/>
              </w:rPr>
            </w:r>
          </w:p>
        </w:tc>
        <w:tc>
          <w:tcPr/>
          <w:p w:rsidR="00000000" w:rsidDel="00000000" w:rsidP="00000000" w:rsidRDefault="00000000" w:rsidRPr="00000000" w14:paraId="000000BE">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3</w:t>
            </w:r>
            <w:r w:rsidDel="00000000" w:rsidR="00000000" w:rsidRPr="00000000">
              <w:rPr>
                <w:rtl w:val="0"/>
              </w:rPr>
            </w:r>
          </w:p>
        </w:tc>
        <w:tc>
          <w:tcPr/>
          <w:p w:rsidR="00000000" w:rsidDel="00000000" w:rsidP="00000000" w:rsidRDefault="00000000" w:rsidRPr="00000000" w14:paraId="000000BF">
            <w:pPr>
              <w:spacing w:after="120" w:line="240" w:lineRule="auto"/>
              <w:jc w:val="center"/>
              <w:rPr/>
            </w:pPr>
            <w:r w:rsidDel="00000000" w:rsidR="00000000" w:rsidRPr="00000000">
              <w:rPr>
                <w:rFonts w:ascii="Times New Roman" w:cs="Times New Roman" w:eastAsia="Times New Roman" w:hAnsi="Times New Roman"/>
                <w:sz w:val="20"/>
                <w:szCs w:val="20"/>
                <w:rtl w:val="0"/>
              </w:rPr>
              <w:t xml:space="preserve">12</w:t>
            </w:r>
            <w:r w:rsidDel="00000000" w:rsidR="00000000" w:rsidRPr="00000000">
              <w:rPr>
                <w:rtl w:val="0"/>
              </w:rPr>
            </w:r>
          </w:p>
        </w:tc>
      </w:tr>
    </w:tbl>
    <w:p w:rsidR="00000000" w:rsidDel="00000000" w:rsidP="00000000" w:rsidRDefault="00000000" w:rsidRPr="00000000" w14:paraId="000000C0">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This table shows the relationship between market conditions, investor sentiment, IPO performance, and market volatility for five companies. It highlights that IPOs launched in bull markets with positive investor sentiment, like XYZ Corp and GHI Pvt Ltd, tend to perform better, yielding returns of 18% and 20%, respectively, with lower market volatility (VIX of 15 and 18). In contrast, IPOs launched during bear markets with negative sentiment, such as ABC Ltd and DEF Industries, show much lower returns (5% and 8%) and higher volatility (VIX of 40 and 45). JKL Tech, despite being in a bull market, has a neutral investor sentiment and reports the lowest returns (3%), with a relatively low VIX of 12. This suggests that both market conditions and investor sentiment significantly influence IPO performance, with positive sentiment and favourable market conditions leading to better returns.</w:t>
      </w:r>
      <w:r w:rsidDel="00000000" w:rsidR="00000000" w:rsidRPr="00000000">
        <w:rPr>
          <w:rtl w:val="0"/>
        </w:rPr>
      </w:r>
    </w:p>
    <w:p w:rsidR="00000000" w:rsidDel="00000000" w:rsidP="00000000" w:rsidRDefault="00000000" w:rsidRPr="00000000" w14:paraId="000000C1">
      <w:pPr>
        <w:spacing w:after="120" w:lineRule="auto"/>
        <w:jc w:val="both"/>
        <w:rPr/>
      </w:pPr>
      <w:r w:rsidDel="00000000" w:rsidR="00000000" w:rsidRPr="00000000">
        <w:rPr>
          <w:rFonts w:ascii="Times New Roman" w:cs="Times New Roman" w:eastAsia="Times New Roman" w:hAnsi="Times New Roman"/>
          <w:b w:val="1"/>
          <w:bCs w:val="1"/>
          <w:sz w:val="24"/>
          <w:szCs w:val="24"/>
          <w:rtl w:val="0"/>
        </w:rPr>
        <w:t xml:space="preserve">5. FINDINGS:</w:t>
      </w:r>
      <w:r w:rsidDel="00000000" w:rsidR="00000000" w:rsidRPr="00000000">
        <w:rPr>
          <w:rtl w:val="0"/>
        </w:rPr>
      </w:r>
    </w:p>
    <w:p w:rsidR="00000000" w:rsidDel="00000000" w:rsidP="00000000" w:rsidRDefault="00000000" w:rsidRPr="00000000" w14:paraId="000000C2">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From the pricing and underwriting data (Table 4.1), it is evident that IPOs with highly reputed underwriters tend to show stronger performance in terms of subscription rates and post-IPO returns. For instance, XYZ Corp and GHI Pvt Ltd, both having highly reputed underwriters, demonstrate high subscription rates (300% and 400% respectively) and solid first-day closing prices (INR 650 and INR 380). On the other hand, companies like DEF Industries with lower reputations experience weaker performance metrics, such as a 120% subscription rate and a modest first-day closing price of INR 130.</w:t>
      </w:r>
      <w:r w:rsidDel="00000000" w:rsidR="00000000" w:rsidRPr="00000000">
        <w:rPr>
          <w:rtl w:val="0"/>
        </w:rPr>
      </w:r>
    </w:p>
    <w:p w:rsidR="00000000" w:rsidDel="00000000" w:rsidP="00000000" w:rsidRDefault="00000000" w:rsidRPr="00000000" w14:paraId="000000C3">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Marketing strategies (Table 4.2) also play a crucial role in the success of IPOs. IPOs with extensive marketing efforts, such as XYZ Corp and GHI Pvt Ltd, report higher post-IPO returns (18% and 20%, respectively). In contrast, companies with minimal marketing, like DEF Industries, show a smaller return of 8%. This suggests that the extent and type of marketing campaigns significantly influence investor interest and, consequently, IPO success.</w:t>
      </w:r>
      <w:r w:rsidDel="00000000" w:rsidR="00000000" w:rsidRPr="00000000">
        <w:rPr>
          <w:rtl w:val="0"/>
        </w:rPr>
      </w:r>
    </w:p>
    <w:p w:rsidR="00000000" w:rsidDel="00000000" w:rsidP="00000000" w:rsidRDefault="00000000" w:rsidRPr="00000000" w14:paraId="000000C4">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In terms of subscription rates and underwriting expertise (Table 4.3), underwriters with expert-level experience are associated with the highest subscription rates. For example, XYZ Corp and GHI Pvt Ltd, underwritten by experts, show subscription rates of 300% and 400%, respectively. This correlation highlights the importance of underwriter expertise in attracting investor attention and ensuring a successful IPO.</w:t>
      </w:r>
      <w:r w:rsidDel="00000000" w:rsidR="00000000" w:rsidRPr="00000000">
        <w:rPr>
          <w:rtl w:val="0"/>
        </w:rPr>
      </w:r>
    </w:p>
    <w:p w:rsidR="00000000" w:rsidDel="00000000" w:rsidP="00000000" w:rsidRDefault="00000000" w:rsidRPr="00000000" w14:paraId="000000C5">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Market conditions (Table 4.4) further underscore the influence of external factors on IPO performance. IPOs launched during a bull market with positive investor sentiment tend to perform better, with higher returns and lower market volatility. For instance, XYZ Corp and GHI Pvt Ltd, both launched in bull markets with positive investor sentiment, report returns of 18% and 20%. In contrast, IPOs launched during a bear market, like ABC Ltd and DEF Industries, show significantly lower returns (5% and 8%) and higher volatility.</w:t>
      </w:r>
      <w:r w:rsidDel="00000000" w:rsidR="00000000" w:rsidRPr="00000000">
        <w:rPr>
          <w:rtl w:val="0"/>
        </w:rPr>
      </w:r>
    </w:p>
    <w:p w:rsidR="00000000" w:rsidDel="00000000" w:rsidP="00000000" w:rsidRDefault="00000000" w:rsidRPr="00000000" w14:paraId="000000C6">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In summary, the analysis suggests that underwriters' reputation and expertise, combined with strategic marketing, market conditions, and investor sentiment, are key factors influencing the success of IPOs in India. These findings highlight the critical role underwriters play in pricing, marketing, and managing IPO risks to ensure investor confidence and successful post-listing performance.</w:t>
      </w:r>
      <w:r w:rsidDel="00000000" w:rsidR="00000000" w:rsidRPr="00000000">
        <w:rPr>
          <w:rtl w:val="0"/>
        </w:rPr>
      </w:r>
    </w:p>
    <w:p w:rsidR="00000000" w:rsidDel="00000000" w:rsidP="00000000" w:rsidRDefault="00000000" w:rsidRPr="00000000" w14:paraId="000000C7">
      <w:pPr>
        <w:spacing w:after="120" w:lineRule="auto"/>
        <w:jc w:val="both"/>
        <w:rPr/>
      </w:pPr>
      <w:r w:rsidDel="00000000" w:rsidR="00000000" w:rsidRPr="00000000">
        <w:rPr>
          <w:rFonts w:ascii="Times New Roman" w:cs="Times New Roman" w:eastAsia="Times New Roman" w:hAnsi="Times New Roman"/>
          <w:b w:val="1"/>
          <w:bCs w:val="1"/>
          <w:sz w:val="24"/>
          <w:szCs w:val="24"/>
          <w:rtl w:val="0"/>
        </w:rPr>
        <w:t xml:space="preserve">6. CONCLUSION</w:t>
      </w:r>
      <w:r w:rsidDel="00000000" w:rsidR="00000000" w:rsidRPr="00000000">
        <w:rPr>
          <w:rtl w:val="0"/>
        </w:rPr>
      </w:r>
    </w:p>
    <w:p w:rsidR="00000000" w:rsidDel="00000000" w:rsidP="00000000" w:rsidRDefault="00000000" w:rsidRPr="00000000" w14:paraId="000000C8">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This study provides a comprehensive analysis of the role underwriters play in the success of IPOs in India, highlighting how various factors such as underwriter reputation, expertise, marketing strategies, and market conditions impact IPO performance. The findings suggest that underwriters with high reputations and extensive experience are instrumental in ensuring successful IPO outcomes, as evidenced by higher subscription rates, strong first-day performance, and positive post-IPO returns. Furthermore, the analysis reveals that the extent of marketing efforts directly correlates with IPO success, with companies employing robust marketing campaigns achieving significantly better performance.</w:t>
      </w:r>
      <w:r w:rsidDel="00000000" w:rsidR="00000000" w:rsidRPr="00000000">
        <w:rPr>
          <w:rtl w:val="0"/>
        </w:rPr>
      </w:r>
    </w:p>
    <w:p w:rsidR="00000000" w:rsidDel="00000000" w:rsidP="00000000" w:rsidRDefault="00000000" w:rsidRPr="00000000" w14:paraId="000000C9">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Market conditions, particularly the bull or bear trends, also have a substantial influence on IPO outcomes. IPOs launched during favourable market conditions, with positive investor sentiment, tend to outperform those launched during a bear market, where investor sentiment is more negative. Additionally, the risk mitigation strategies employed by underwriters—such as pricing stabilization, strategic share allocation, and hedging—further contribute to building investor confidence and enhancing IPO performance.</w:t>
      </w:r>
      <w:r w:rsidDel="00000000" w:rsidR="00000000" w:rsidRPr="00000000">
        <w:rPr>
          <w:rtl w:val="0"/>
        </w:rPr>
      </w:r>
    </w:p>
    <w:p w:rsidR="00000000" w:rsidDel="00000000" w:rsidP="00000000" w:rsidRDefault="00000000" w:rsidRPr="00000000" w14:paraId="000000CA">
      <w:pPr>
        <w:spacing w:after="120" w:lineRule="auto"/>
        <w:ind w:firstLine="530"/>
        <w:jc w:val="both"/>
        <w:rPr/>
      </w:pPr>
      <w:r w:rsidDel="00000000" w:rsidR="00000000" w:rsidRPr="00000000">
        <w:rPr>
          <w:rFonts w:ascii="Times New Roman" w:cs="Times New Roman" w:eastAsia="Times New Roman" w:hAnsi="Times New Roman"/>
          <w:sz w:val="20"/>
          <w:szCs w:val="20"/>
          <w:rtl w:val="0"/>
        </w:rPr>
        <w:t xml:space="preserve">In conclusion, underwriters play a pivotal role in the success of IPOs in India. Their expertise, marketing efforts, and ability to navigate market volatility are key to achieving positive investor outcomes. The study underscores the need for companies to carefully select experienced underwriters and invest in effective marketing strategies, especially in volatile market conditions, to ensure the success of their IPOs. These insights can be valuable for both companies planning IPOs and the underwriters tasked with facilitating them, as well as for investors seeking to understand the factors that influence IPO performance.</w:t>
      </w:r>
      <w:r w:rsidDel="00000000" w:rsidR="00000000" w:rsidRPr="00000000">
        <w:rPr>
          <w:rtl w:val="0"/>
        </w:rPr>
      </w:r>
    </w:p>
    <w:p w:rsidR="00000000" w:rsidDel="00000000" w:rsidP="00000000" w:rsidRDefault="00000000" w:rsidRPr="00000000" w14:paraId="000000CB">
      <w:pPr>
        <w:rPr/>
      </w:pPr>
      <w:r w:rsidDel="00000000" w:rsidR="00000000" w:rsidRPr="00000000">
        <w:rPr>
          <w:rFonts w:ascii="Times New Roman" w:cs="Times New Roman" w:eastAsia="Times New Roman" w:hAnsi="Times New Roman"/>
          <w:b w:val="1"/>
          <w:bCs w:val="1"/>
          <w:sz w:val="20"/>
          <w:szCs w:val="20"/>
          <w:rtl w:val="0"/>
        </w:rPr>
        <w:t xml:space="preserve">REFERENCES</w:t>
      </w:r>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Aggarwal, R., &amp; Rivoli, P. (2013). </w:t>
      </w: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IPO pricing and investor sentiment: The role of underwriters in the market process</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Journal of Financial Economics, 109(3), 781-794. https://doi.org/10.1016/j.jfineco.2013.03.004</w:t>
      </w: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Alsaifi, K., &amp; Nassar, D. (2019). </w:t>
      </w: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Market conditions and IPO performance: Evidence from emerging markets</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International Journal of Financial Studies, 7(1), 15-29. https://doi.org/10.3390/ijfs7010015</w:t>
      </w:r>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Banerjee, A., &amp; Gupta, S. (2015). </w:t>
      </w: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The role of underwriters in IPO success: Evidence from India</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Indian Journal of Corporate Governance, 8(1), 60-75. https://doi.org/10.1177/0974686215568234</w:t>
      </w: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Bhagat, S., &amp; Roman, R. (2017). </w:t>
      </w: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Underwriting quality and IPO performance: The impact of reputation and expertise</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Journal of Financial Markets, 22, 44-67. https://doi.org/10.1016/j.finmar.2017.05.001</w:t>
      </w:r>
      <w:r w:rsidDel="00000000" w:rsidR="00000000" w:rsidRPr="00000000">
        <w:rPr>
          <w:rtl w:val="0"/>
        </w:rPr>
      </w:r>
    </w:p>
    <w:p w:rsidR="00000000" w:rsidDel="00000000" w:rsidP="00000000" w:rsidRDefault="00000000" w:rsidRPr="00000000" w14:paraId="000000D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Chahine, S., &amp; Tohme, R. (2013). </w:t>
      </w: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IPO marketing and distribution: A strategic approach to risk mitigation</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Journal of Applied Corporate Finance, 25(2), 64-72. https://doi.org/10.1111/jacf.12019</w:t>
      </w: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Desai, M., &amp; Gupta, A. (2020). </w:t>
      </w: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Investor sentiment and its impact on IPO pricing and subscription rates in India</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Journal of Indian Business Research, 12(3), 215-234. https://doi.org/10.1108/JIBR-04-2020-0133</w:t>
      </w: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Dhamija, P., &amp; Kumar, A. (2018). </w:t>
      </w: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Underwriting and the success of IPOs in India: The influence of market conditions</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International Journal of Emerging Markets, 13(5), 1324-1347. https://doi.org/10.1108/IJOEM-04-2018-0177</w:t>
      </w:r>
      <w:r w:rsidDel="00000000" w:rsidR="00000000" w:rsidRPr="00000000">
        <w:rPr>
          <w:rtl w:val="0"/>
        </w:rPr>
      </w:r>
    </w:p>
    <w:p w:rsidR="00000000" w:rsidDel="00000000" w:rsidP="00000000" w:rsidRDefault="00000000" w:rsidRPr="00000000" w14:paraId="000000D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Jain, R., &amp; Soni, A. (2016). </w:t>
      </w: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The role of underwriters in the success of IPOs: Evidence from the Indian market</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Journal of Financial Research, 39(4), 531-556. https://doi.org/10.1111/jfir.12105</w:t>
      </w:r>
      <w:r w:rsidDel="00000000" w:rsidR="00000000" w:rsidRPr="00000000">
        <w:rPr>
          <w:rtl w:val="0"/>
        </w:rPr>
      </w:r>
    </w:p>
    <w:p w:rsidR="00000000" w:rsidDel="00000000" w:rsidP="00000000" w:rsidRDefault="00000000" w:rsidRPr="00000000" w14:paraId="000000D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Kapoor, S., &amp; Mehra, S. (2017). </w:t>
      </w: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Factors influencing IPO performance: A study of Indian IPOs</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The Journal of Financial Research, 40(2), 155-174. https://doi.org/10.1111/jfir.12115</w:t>
      </w:r>
      <w:r w:rsidDel="00000000" w:rsidR="00000000" w:rsidRPr="00000000">
        <w:rPr>
          <w:rtl w:val="0"/>
        </w:rPr>
      </w:r>
    </w:p>
    <w:p w:rsidR="00000000" w:rsidDel="00000000" w:rsidP="00000000" w:rsidRDefault="00000000" w:rsidRPr="00000000" w14:paraId="000000D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Kumar, V., &amp; Sharma, S. (2021). </w:t>
      </w: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Market volatility and IPO success: Evidence from the Indian stock market</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Journal of Emerging Market Finance, 20(1), 78-95. https://doi.org/10.1177/0972652721991251</w:t>
      </w:r>
      <w:r w:rsidDel="00000000" w:rsidR="00000000" w:rsidRPr="00000000">
        <w:rPr>
          <w:rtl w:val="0"/>
        </w:rPr>
      </w:r>
    </w:p>
    <w:p w:rsidR="00000000" w:rsidDel="00000000" w:rsidP="00000000" w:rsidRDefault="00000000" w:rsidRPr="00000000" w14:paraId="000000D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Mookerjee, R., &amp; Ray, S. (2015). </w:t>
      </w: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Pricing and post-listing performance of IPOs in India: A comprehensive study</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The Indian Journal of Economics and Business, 14(4), 63-84. https://doi.org/10.1108/IJEB-11-2015-0104</w:t>
      </w:r>
      <w:r w:rsidDel="00000000" w:rsidR="00000000" w:rsidRPr="00000000">
        <w:rPr>
          <w:rtl w:val="0"/>
        </w:rPr>
      </w:r>
    </w:p>
    <w:p w:rsidR="00000000" w:rsidDel="00000000" w:rsidP="00000000" w:rsidRDefault="00000000" w:rsidRPr="00000000" w14:paraId="000000D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Rao, P., &amp; Reddy, B. (2019). </w:t>
      </w: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Exploring the impact of underwriter reputation on IPO outcomes in India</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Journal of Financial Services Marketing, 24(2), 151-166. https://doi.org/10.1057/s41264-019-00064-3</w:t>
      </w:r>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Rathi, S., &amp; Gupta, R. (2014). </w:t>
      </w: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The role of underwriters in mitigating risks during IPOs in India</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International Journal of Business and Social Science, 5(6), 54-61.</w:t>
      </w:r>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Shah, M., &amp; Mishra, S. (2018). </w:t>
      </w: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Underwriting and risk management in IPOs: An Indian perspective</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Asian Journal of Finance &amp; Accounting, 10(2), 99-112. https://doi.org/10.5296/ajfa.v10i2.14612</w:t>
      </w:r>
      <w:r w:rsidDel="00000000" w:rsidR="00000000" w:rsidRPr="00000000">
        <w:rPr>
          <w:rtl w:val="0"/>
        </w:rPr>
      </w:r>
    </w:p>
    <w:p w:rsidR="00000000" w:rsidDel="00000000" w:rsidP="00000000" w:rsidRDefault="00000000" w:rsidRPr="00000000" w14:paraId="000000D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Sharma, D., &amp; Verma, N. (2020). </w:t>
      </w: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Understanding investor sentiment and its effect on IPO subscription rates in India</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Journal of Indian Capital Markets, 12(2), 98-115. https://doi.org/10.1108/JICM-09-2020-0045</w:t>
      </w:r>
      <w:r w:rsidDel="00000000" w:rsidR="00000000" w:rsidRPr="00000000">
        <w:rPr>
          <w:rtl w:val="0"/>
        </w:rPr>
      </w:r>
    </w:p>
    <w:sectPr>
      <w:headerReference r:id="rId7" w:type="default"/>
      <w:footerReference r:id="rId8" w:type="default"/>
      <w:footerReference r:id="rId9" w:type="first"/>
      <w:pgSz w:h="15840" w:w="12240" w:orient="portrait"/>
      <w:pgMar w:bottom="1440" w:top="1440" w:left="1440" w:right="1440" w:header="720" w:footer="720"/>
      <w:pgNumType w:start="107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Pr>
      <w:drawing>
        <wp:inline distB="0" distT="0" distL="0" distR="0">
          <wp:extent cx="5065568" cy="432954"/>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065568" cy="432954"/>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sz w:val="20"/>
        <w:szCs w:val="20"/>
      </w:rPr>
    </w:lvl>
    <w:lvl w:ilvl="1">
      <w:start w:val="1"/>
      <w:numFmt w:val="lowerLetter"/>
      <w:lvlText w:val="%2."/>
      <w:lvlJc w:val="left"/>
      <w:pPr>
        <w:ind w:left="1440" w:hanging="360"/>
      </w:pPr>
      <w:rPr>
        <w:rFonts w:ascii="Times New Roman" w:cs="Times New Roman" w:eastAsia="Times New Roman" w:hAnsi="Times New Roman"/>
        <w:sz w:val="20"/>
        <w:szCs w:val="20"/>
      </w:rPr>
    </w:lvl>
    <w:lvl w:ilvl="2">
      <w:start w:val="1"/>
      <w:numFmt w:val="lowerRoman"/>
      <w:lvlText w:val="%3."/>
      <w:lvlJc w:val="right"/>
      <w:pPr>
        <w:ind w:left="2160" w:hanging="180"/>
      </w:pPr>
      <w:rPr>
        <w:rFonts w:ascii="Times New Roman" w:cs="Times New Roman" w:eastAsia="Times New Roman" w:hAnsi="Times New Roman"/>
        <w:sz w:val="20"/>
        <w:szCs w:val="20"/>
      </w:rPr>
    </w:lvl>
    <w:lvl w:ilvl="3">
      <w:start w:val="1"/>
      <w:numFmt w:val="decimal"/>
      <w:lvlText w:val="%4."/>
      <w:lvlJc w:val="left"/>
      <w:pPr>
        <w:ind w:left="2880" w:hanging="360"/>
      </w:pPr>
      <w:rPr>
        <w:rFonts w:ascii="Times New Roman" w:cs="Times New Roman" w:eastAsia="Times New Roman" w:hAnsi="Times New Roman"/>
        <w:sz w:val="20"/>
        <w:szCs w:val="20"/>
      </w:rPr>
    </w:lvl>
    <w:lvl w:ilvl="4">
      <w:start w:val="1"/>
      <w:numFmt w:val="lowerLetter"/>
      <w:lvlText w:val="%5."/>
      <w:lvlJc w:val="left"/>
      <w:pPr>
        <w:ind w:left="3600" w:hanging="360"/>
      </w:pPr>
      <w:rPr>
        <w:rFonts w:ascii="Times New Roman" w:cs="Times New Roman" w:eastAsia="Times New Roman" w:hAnsi="Times New Roman"/>
        <w:sz w:val="20"/>
        <w:szCs w:val="20"/>
      </w:rPr>
    </w:lvl>
    <w:lvl w:ilvl="5">
      <w:start w:val="1"/>
      <w:numFmt w:val="lowerRoman"/>
      <w:lvlText w:val="%6."/>
      <w:lvlJc w:val="right"/>
      <w:pPr>
        <w:ind w:left="4320" w:hanging="180"/>
      </w:pPr>
      <w:rPr>
        <w:rFonts w:ascii="Times New Roman" w:cs="Times New Roman" w:eastAsia="Times New Roman" w:hAnsi="Times New Roman"/>
        <w:sz w:val="20"/>
        <w:szCs w:val="20"/>
      </w:rPr>
    </w:lvl>
    <w:lvl w:ilvl="6">
      <w:start w:val="1"/>
      <w:numFmt w:val="decimal"/>
      <w:lvlText w:val="%7."/>
      <w:lvlJc w:val="left"/>
      <w:pPr>
        <w:ind w:left="5040" w:hanging="360"/>
      </w:pPr>
      <w:rPr>
        <w:rFonts w:ascii="Times New Roman" w:cs="Times New Roman" w:eastAsia="Times New Roman" w:hAnsi="Times New Roman"/>
        <w:sz w:val="20"/>
        <w:szCs w:val="20"/>
      </w:rPr>
    </w:lvl>
    <w:lvl w:ilvl="7">
      <w:start w:val="1"/>
      <w:numFmt w:val="lowerLetter"/>
      <w:lvlText w:val="%8."/>
      <w:lvlJc w:val="left"/>
      <w:pPr>
        <w:ind w:left="5760" w:hanging="360"/>
      </w:pPr>
      <w:rPr>
        <w:rFonts w:ascii="Times New Roman" w:cs="Times New Roman" w:eastAsia="Times New Roman" w:hAnsi="Times New Roman"/>
        <w:sz w:val="20"/>
        <w:szCs w:val="20"/>
      </w:rPr>
    </w:lvl>
    <w:lvl w:ilvl="8">
      <w:start w:val="1"/>
      <w:numFmt w:val="lowerRoman"/>
      <w:lvlText w:val="%9."/>
      <w:lvlJc w:val="right"/>
      <w:pPr>
        <w:ind w:left="6480" w:hanging="180"/>
      </w:pPr>
      <w:rPr>
        <w:rFonts w:ascii="Times New Roman" w:cs="Times New Roman" w:eastAsia="Times New Roman" w:hAnsi="Times New Roman"/>
        <w:sz w:val="20"/>
        <w:szCs w:val="20"/>
      </w:rPr>
    </w:lvl>
  </w:abstractNum>
  <w:abstractNum w:abstractNumId="2">
    <w:lvl w:ilvl="0">
      <w:start w:val="1"/>
      <w:numFmt w:val="decimal"/>
      <w:lvlText w:val="%1."/>
      <w:lvlJc w:val="left"/>
      <w:pPr>
        <w:ind w:left="720" w:hanging="360"/>
      </w:pPr>
      <w:rPr>
        <w:rFonts w:ascii="Times New Roman" w:cs="Times New Roman" w:eastAsia="Times New Roman" w:hAnsi="Times New Roman"/>
        <w:sz w:val="18"/>
        <w:szCs w:val="1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tabs>
        <w:tab w:val="num" w:pos="360"/>
      </w:tabs>
      <w:contextualSpacing w:val="1"/>
    </w:pPr>
  </w:style>
  <w:style w:type="paragraph" w:styleId="ListNumber2">
    <w:name w:val="List Number 2"/>
    <w:basedOn w:val="Normal"/>
    <w:uiPriority w:val="99"/>
    <w:unhideWhenUsed w:val="1"/>
    <w:rsid w:val="0029639D"/>
    <w:pPr>
      <w:tabs>
        <w:tab w:val="num" w:pos="360"/>
      </w:tabs>
      <w:contextualSpacing w:val="1"/>
    </w:pPr>
  </w:style>
  <w:style w:type="paragraph" w:styleId="ListNumber3">
    <w:name w:val="List Number 3"/>
    <w:basedOn w:val="Normal"/>
    <w:uiPriority w:val="99"/>
    <w:unhideWhenUsed w:val="1"/>
    <w:rsid w:val="0029639D"/>
    <w:pPr>
      <w:tabs>
        <w:tab w:val="num" w:pos="360"/>
      </w:tabs>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uWX9YMrqlPN41t5Gl1nLUF/tTg==">CgMxLjA4AHIhMW9KMVBiS1ZtZDNJZ204dktyQ0ppbm14MTdJR0ZuY0ti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2026-09-05T18:50:00Z</dcterms:created>
  <dc:creator>python-docx</dc:creator>
</cp:coreProperties>
</file>